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B0268" w14:textId="3B1A89C5" w:rsidR="00D8682C" w:rsidRPr="003E689E" w:rsidRDefault="008100B4" w:rsidP="006E1BAA">
      <w:pPr>
        <w:spacing w:line="360" w:lineRule="auto"/>
        <w:jc w:val="both"/>
        <w:rPr>
          <w:rFonts w:ascii="Georgia" w:hAnsi="Georgia"/>
          <w:lang w:val="es-ES_tradnl"/>
        </w:rPr>
      </w:pPr>
      <w:bookmarkStart w:id="0" w:name="_Toc294190918"/>
      <w:r w:rsidRPr="003E689E">
        <w:rPr>
          <w:rFonts w:ascii="Georgia" w:hAnsi="Georgia"/>
          <w:noProof/>
          <w:lang w:val="en-US"/>
        </w:rPr>
        <mc:AlternateContent>
          <mc:Choice Requires="wps">
            <w:drawing>
              <wp:anchor distT="0" distB="0" distL="114300" distR="114300" simplePos="0" relativeHeight="251660288" behindDoc="0" locked="0" layoutInCell="1" allowOverlap="1" wp14:anchorId="784E8D45" wp14:editId="4FE4A708">
                <wp:simplePos x="0" y="0"/>
                <wp:positionH relativeFrom="column">
                  <wp:posOffset>-457200</wp:posOffset>
                </wp:positionH>
                <wp:positionV relativeFrom="paragraph">
                  <wp:posOffset>-233045</wp:posOffset>
                </wp:positionV>
                <wp:extent cx="6476365" cy="7315200"/>
                <wp:effectExtent l="0" t="0" r="0" b="0"/>
                <wp:wrapSquare wrapText="bothSides"/>
                <wp:docPr id="133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7315200"/>
                        </a:xfrm>
                        <a:prstGeom prst="rect">
                          <a:avLst/>
                        </a:prstGeom>
                        <a:noFill/>
                        <a:ln w="9525">
                          <a:noFill/>
                          <a:miter lim="800000"/>
                          <a:headEnd/>
                          <a:tailEnd/>
                        </a:ln>
                      </wps:spPr>
                      <wps:txbx>
                        <w:txbxContent>
                          <w:p w14:paraId="780B8776" w14:textId="77777777" w:rsidR="00D41FC4" w:rsidRPr="00EB59D1" w:rsidRDefault="00D41FC4" w:rsidP="00C75EB7">
                            <w:pPr>
                              <w:pStyle w:val="Header"/>
                              <w:spacing w:line="360" w:lineRule="auto"/>
                              <w:jc w:val="both"/>
                              <w:rPr>
                                <w:rFonts w:ascii="Arial" w:hAnsi="Arial" w:cs="Arial"/>
                                <w:b/>
                                <w:i/>
                                <w:color w:val="FFFFFF" w:themeColor="background1"/>
                                <w:sz w:val="96"/>
                                <w:szCs w:val="96"/>
                              </w:rPr>
                            </w:pPr>
                            <w:bookmarkStart w:id="1" w:name="_Toc218018802"/>
                            <w:bookmarkStart w:id="2" w:name="_Toc220333627"/>
                          </w:p>
                          <w:p w14:paraId="08E2E569" w14:textId="32D6A979" w:rsidR="00D41FC4" w:rsidRPr="00EB59D1" w:rsidRDefault="00D41FC4" w:rsidP="00C75EB7">
                            <w:pPr>
                              <w:pStyle w:val="Header"/>
                              <w:spacing w:line="360" w:lineRule="auto"/>
                              <w:jc w:val="center"/>
                              <w:rPr>
                                <w:rFonts w:ascii="Arial" w:hAnsi="Arial" w:cs="Arial"/>
                                <w:b/>
                                <w:i/>
                                <w:color w:val="FFFFFF" w:themeColor="background1"/>
                                <w:sz w:val="96"/>
                                <w:szCs w:val="96"/>
                              </w:rPr>
                            </w:pPr>
                            <w:r w:rsidRPr="00EB59D1">
                              <w:rPr>
                                <w:rFonts w:ascii="Arial" w:hAnsi="Arial" w:cs="Arial"/>
                                <w:b/>
                                <w:i/>
                                <w:color w:val="FFFFFF" w:themeColor="background1"/>
                                <w:sz w:val="96"/>
                                <w:szCs w:val="96"/>
                              </w:rPr>
                              <w:t>Innovación</w:t>
                            </w:r>
                            <w:r>
                              <w:rPr>
                                <w:rFonts w:ascii="Arial" w:hAnsi="Arial" w:cs="Arial"/>
                                <w:b/>
                                <w:i/>
                                <w:color w:val="FFFFFF" w:themeColor="background1"/>
                                <w:sz w:val="96"/>
                                <w:szCs w:val="96"/>
                              </w:rPr>
                              <w:t xml:space="preserve"> Social</w:t>
                            </w:r>
                            <w:r w:rsidRPr="00EB59D1">
                              <w:rPr>
                                <w:rFonts w:ascii="Arial" w:hAnsi="Arial" w:cs="Arial"/>
                                <w:b/>
                                <w:i/>
                                <w:color w:val="FFFFFF" w:themeColor="background1"/>
                                <w:sz w:val="96"/>
                                <w:szCs w:val="96"/>
                              </w:rPr>
                              <w:t xml:space="preserve"> en la Base de la Pirámide</w:t>
                            </w:r>
                          </w:p>
                          <w:p w14:paraId="6D58B007" w14:textId="08518119" w:rsidR="00D41FC4" w:rsidRPr="00C75EB7" w:rsidRDefault="00D41FC4" w:rsidP="00C75EB7">
                            <w:pPr>
                              <w:pStyle w:val="Header"/>
                              <w:spacing w:line="360" w:lineRule="auto"/>
                              <w:jc w:val="center"/>
                              <w:rPr>
                                <w:rFonts w:ascii="Arial" w:hAnsi="Arial" w:cs="Arial"/>
                                <w:b/>
                                <w:i/>
                                <w:color w:val="FFFFFF" w:themeColor="background1"/>
                                <w:sz w:val="56"/>
                                <w:szCs w:val="56"/>
                              </w:rPr>
                            </w:pPr>
                            <w:r w:rsidRPr="00C75EB7">
                              <w:rPr>
                                <w:rFonts w:ascii="Arial" w:hAnsi="Arial" w:cs="Arial"/>
                                <w:b/>
                                <w:i/>
                                <w:color w:val="FFFFFF" w:themeColor="background1"/>
                                <w:sz w:val="56"/>
                                <w:szCs w:val="56"/>
                              </w:rPr>
                              <w:t>Modelos de Negocio que combinan la rentabilidad y el impacto social</w:t>
                            </w:r>
                          </w:p>
                          <w:p w14:paraId="7E65E79D" w14:textId="6E6DBDE4" w:rsidR="00D41FC4" w:rsidRPr="00C75EB7" w:rsidRDefault="00D41FC4" w:rsidP="00C75EB7">
                            <w:pPr>
                              <w:spacing w:line="360" w:lineRule="auto"/>
                              <w:jc w:val="center"/>
                              <w:rPr>
                                <w:rFonts w:ascii="Arial" w:hAnsi="Arial" w:cs="Arial"/>
                                <w:b/>
                                <w:color w:val="FFFFFF" w:themeColor="background1"/>
                                <w:sz w:val="56"/>
                                <w:szCs w:val="56"/>
                              </w:rPr>
                            </w:pPr>
                            <w:r>
                              <w:rPr>
                                <w:rFonts w:ascii="Arial" w:hAnsi="Arial" w:cs="Arial"/>
                                <w:b/>
                                <w:color w:val="FFFFFF" w:themeColor="background1"/>
                                <w:sz w:val="56"/>
                                <w:szCs w:val="56"/>
                              </w:rPr>
                              <w:t>O</w:t>
                            </w:r>
                            <w:r w:rsidRPr="00C75EB7">
                              <w:rPr>
                                <w:rFonts w:ascii="Arial" w:hAnsi="Arial" w:cs="Arial"/>
                                <w:b/>
                                <w:color w:val="FFFFFF" w:themeColor="background1"/>
                                <w:sz w:val="56"/>
                                <w:szCs w:val="56"/>
                              </w:rPr>
                              <w:t>portunidades, retos y casos de éxito</w:t>
                            </w:r>
                            <w:bookmarkEnd w:id="1"/>
                            <w:bookmarkEnd w:id="2"/>
                          </w:p>
                          <w:p w14:paraId="2673619B" w14:textId="77777777" w:rsidR="00D41FC4" w:rsidRPr="00C75EB7" w:rsidRDefault="00D41FC4" w:rsidP="00C75EB7">
                            <w:pPr>
                              <w:spacing w:line="360" w:lineRule="auto"/>
                              <w:jc w:val="both"/>
                              <w:rPr>
                                <w:rFonts w:ascii="Arial" w:hAnsi="Arial" w:cs="Arial"/>
                                <w:b/>
                                <w:color w:val="FFFFFF" w:themeColor="background1"/>
                                <w:sz w:val="56"/>
                                <w:szCs w:val="56"/>
                              </w:rPr>
                            </w:pPr>
                          </w:p>
                          <w:p w14:paraId="33743C9E" w14:textId="77777777" w:rsidR="00D41FC4" w:rsidRPr="00C75EB7" w:rsidRDefault="00D41FC4" w:rsidP="00C75EB7">
                            <w:pPr>
                              <w:spacing w:line="360" w:lineRule="auto"/>
                              <w:jc w:val="both"/>
                              <w:rPr>
                                <w:rFonts w:ascii="Arial" w:hAnsi="Arial" w:cs="Arial"/>
                                <w:b/>
                                <w:color w:val="FFFFFF" w:themeColor="background1"/>
                                <w:sz w:val="56"/>
                                <w:szCs w:val="56"/>
                              </w:rPr>
                            </w:pPr>
                          </w:p>
                          <w:p w14:paraId="0D4653E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5E0DFBA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r w:rsidRPr="00C75EB7">
                              <w:rPr>
                                <w:rFonts w:ascii="Arial" w:hAnsi="Arial" w:cs="Arial"/>
                                <w:b/>
                                <w:color w:val="FFFFFF" w:themeColor="background1"/>
                                <w:sz w:val="56"/>
                                <w:szCs w:val="56"/>
                              </w:rPr>
                              <w:t>Guadalupe de la Mata</w:t>
                            </w:r>
                          </w:p>
                          <w:p w14:paraId="597CA9C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1E8A559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3C0360D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68A62AA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1C725BE" w14:textId="77777777" w:rsidR="00D41FC4" w:rsidRPr="00C75EB7" w:rsidRDefault="00D41FC4" w:rsidP="00C75EB7">
                            <w:pPr>
                              <w:spacing w:before="120" w:line="360" w:lineRule="auto"/>
                              <w:jc w:val="both"/>
                              <w:rPr>
                                <w:rFonts w:ascii="Arial" w:eastAsiaTheme="majorEastAsia" w:hAnsi="Arial" w:cs="Arial"/>
                                <w:bCs/>
                                <w:i/>
                                <w:caps/>
                                <w:color w:val="FFFFFF" w:themeColor="background1"/>
                                <w:sz w:val="56"/>
                                <w:szCs w:val="56"/>
                              </w:rPr>
                            </w:pPr>
                            <w:r w:rsidRPr="00C75EB7">
                              <w:rPr>
                                <w:rFonts w:ascii="Arial" w:eastAsiaTheme="majorEastAsia" w:hAnsi="Arial" w:cs="Arial"/>
                                <w:bCs/>
                                <w:i/>
                                <w:caps/>
                                <w:color w:val="FFFFFF" w:themeColor="background1"/>
                                <w:sz w:val="56"/>
                                <w:szCs w:val="56"/>
                              </w:rPr>
                              <w:fldChar w:fldCharType="begin"/>
                            </w:r>
                            <w:r w:rsidRPr="00C75EB7">
                              <w:rPr>
                                <w:rFonts w:ascii="Arial" w:eastAsiaTheme="majorEastAsia" w:hAnsi="Arial" w:cs="Arial"/>
                                <w:bCs/>
                                <w:i/>
                                <w:caps/>
                                <w:color w:val="FFFFFF" w:themeColor="background1"/>
                                <w:sz w:val="56"/>
                                <w:szCs w:val="56"/>
                              </w:rPr>
                              <w:instrText xml:space="preserve"> TOC \o "1-3" </w:instrText>
                            </w:r>
                            <w:r w:rsidRPr="00C75EB7">
                              <w:rPr>
                                <w:rFonts w:ascii="Arial" w:eastAsiaTheme="majorEastAsia" w:hAnsi="Arial" w:cs="Arial"/>
                                <w:bCs/>
                                <w:i/>
                                <w:caps/>
                                <w:color w:val="FFFFFF" w:themeColor="background1"/>
                                <w:sz w:val="56"/>
                                <w:szCs w:val="56"/>
                              </w:rPr>
                              <w:fldChar w:fldCharType="separate"/>
                            </w:r>
                            <w:r w:rsidRPr="00C75EB7">
                              <w:rPr>
                                <w:rFonts w:ascii="Arial" w:eastAsiaTheme="majorEastAsia" w:hAnsi="Arial" w:cs="Arial"/>
                                <w:b/>
                                <w:bCs/>
                                <w:i/>
                                <w:caps/>
                                <w:noProof/>
                                <w:color w:val="FFFFFF" w:themeColor="background1"/>
                                <w:sz w:val="56"/>
                                <w:szCs w:val="56"/>
                              </w:rPr>
                              <w:t>Error! Table not allowed in footnote, endnote, header, footer, comment, or text box.</w:t>
                            </w:r>
                            <w:r w:rsidRPr="00C75EB7">
                              <w:rPr>
                                <w:rFonts w:ascii="Arial" w:eastAsiaTheme="majorEastAsia" w:hAnsi="Arial" w:cs="Arial"/>
                                <w:bCs/>
                                <w:i/>
                                <w:caps/>
                                <w:color w:val="FFFFFF" w:themeColor="background1"/>
                                <w:sz w:val="56"/>
                                <w:szCs w:val="56"/>
                              </w:rPr>
                              <w:fldChar w:fldCharType="end"/>
                            </w:r>
                          </w:p>
                          <w:p w14:paraId="4FFFA1B2" w14:textId="77777777" w:rsidR="00D41FC4" w:rsidRPr="00C75EB7" w:rsidRDefault="00D41FC4" w:rsidP="00C75EB7">
                            <w:pPr>
                              <w:spacing w:before="120" w:line="360" w:lineRule="auto"/>
                              <w:jc w:val="both"/>
                              <w:rPr>
                                <w:rFonts w:ascii="Arial" w:eastAsiaTheme="majorEastAsia" w:hAnsi="Arial" w:cs="Arial"/>
                                <w:b/>
                                <w:bCs/>
                                <w:color w:val="FFFFFF" w:themeColor="background1"/>
                                <w:sz w:val="56"/>
                                <w:szCs w:val="56"/>
                              </w:rPr>
                            </w:pPr>
                          </w:p>
                          <w:p w14:paraId="1CEB01EF" w14:textId="77777777" w:rsidR="00D41FC4" w:rsidRPr="00C75EB7" w:rsidRDefault="00D41FC4" w:rsidP="00C75EB7">
                            <w:pPr>
                              <w:pStyle w:val="Heading1"/>
                              <w:widowControl w:val="0"/>
                              <w:autoSpaceDE w:val="0"/>
                              <w:autoSpaceDN w:val="0"/>
                              <w:adjustRightInd w:val="0"/>
                              <w:spacing w:line="360" w:lineRule="auto"/>
                              <w:jc w:val="both"/>
                              <w:rPr>
                                <w:rFonts w:ascii="Arial" w:hAnsi="Arial" w:cs="Arial"/>
                                <w:color w:val="FFFFFF" w:themeColor="background1"/>
                                <w:sz w:val="56"/>
                                <w:szCs w:val="56"/>
                                <w:lang w:val="en-US"/>
                              </w:rPr>
                            </w:pPr>
                          </w:p>
                          <w:p w14:paraId="7EB5F740" w14:textId="77777777" w:rsidR="00D41FC4" w:rsidRPr="00C75EB7" w:rsidRDefault="00D41FC4" w:rsidP="00C75EB7">
                            <w:pPr>
                              <w:rPr>
                                <w:color w:val="FFFFFF" w:themeColor="background1"/>
                                <w:sz w:val="56"/>
                                <w:szCs w:val="56"/>
                                <w:lang w:val="en-US"/>
                              </w:rPr>
                            </w:pPr>
                          </w:p>
                          <w:p w14:paraId="25DB52C1" w14:textId="77777777" w:rsidR="00D41FC4" w:rsidRPr="00C75EB7" w:rsidRDefault="00D41FC4" w:rsidP="00C75EB7">
                            <w:pPr>
                              <w:rPr>
                                <w:color w:val="FFFFFF" w:themeColor="background1"/>
                                <w:sz w:val="56"/>
                                <w:szCs w:val="56"/>
                                <w:lang w:val="en-US"/>
                              </w:rPr>
                            </w:pPr>
                          </w:p>
                          <w:p w14:paraId="6A027D5E" w14:textId="77777777" w:rsidR="00D41FC4" w:rsidRPr="00C75EB7" w:rsidRDefault="00D41FC4" w:rsidP="00C75EB7">
                            <w:pPr>
                              <w:rPr>
                                <w:color w:val="FFFFFF" w:themeColor="background1"/>
                                <w:sz w:val="56"/>
                                <w:szCs w:val="56"/>
                                <w:lang w:val="en-US"/>
                              </w:rPr>
                            </w:pPr>
                          </w:p>
                          <w:p w14:paraId="7C907562" w14:textId="77777777" w:rsidR="00D41FC4" w:rsidRPr="00C75EB7" w:rsidRDefault="00D41FC4" w:rsidP="00C75EB7">
                            <w:pPr>
                              <w:rPr>
                                <w:color w:val="FFFFFF" w:themeColor="background1"/>
                                <w:sz w:val="56"/>
                                <w:szCs w:val="56"/>
                                <w:lang w:val="en-US"/>
                              </w:rPr>
                            </w:pPr>
                          </w:p>
                          <w:p w14:paraId="4CF42291" w14:textId="77777777" w:rsidR="00D41FC4" w:rsidRPr="00C75EB7" w:rsidRDefault="00D41FC4" w:rsidP="00C75EB7">
                            <w:pPr>
                              <w:rPr>
                                <w:color w:val="FFFFFF" w:themeColor="background1"/>
                                <w:sz w:val="56"/>
                                <w:szCs w:val="56"/>
                                <w:lang w:val="en-US"/>
                              </w:rPr>
                            </w:pPr>
                          </w:p>
                          <w:p w14:paraId="4CDEF927" w14:textId="77777777" w:rsidR="00D41FC4" w:rsidRPr="00C75EB7" w:rsidRDefault="00D41FC4" w:rsidP="00C75EB7">
                            <w:pPr>
                              <w:rPr>
                                <w:color w:val="FFFFFF" w:themeColor="background1"/>
                                <w:sz w:val="56"/>
                                <w:szCs w:val="56"/>
                                <w:lang w:val="en-US"/>
                              </w:rPr>
                            </w:pPr>
                          </w:p>
                          <w:p w14:paraId="21093D43" w14:textId="77777777" w:rsidR="00D41FC4" w:rsidRPr="00C75EB7" w:rsidRDefault="00D41FC4" w:rsidP="00C75EB7">
                            <w:pPr>
                              <w:rPr>
                                <w:color w:val="FFFFFF" w:themeColor="background1"/>
                                <w:sz w:val="56"/>
                                <w:szCs w:val="56"/>
                                <w:lang w:val="en-US"/>
                              </w:rPr>
                            </w:pPr>
                          </w:p>
                          <w:p w14:paraId="7A8002FC" w14:textId="77777777" w:rsidR="00D41FC4" w:rsidRPr="00C75EB7" w:rsidRDefault="00D41FC4" w:rsidP="00C75EB7">
                            <w:pPr>
                              <w:rPr>
                                <w:color w:val="FFFFFF" w:themeColor="background1"/>
                                <w:sz w:val="56"/>
                                <w:szCs w:val="56"/>
                                <w:lang w:val="en-US"/>
                              </w:rPr>
                            </w:pPr>
                          </w:p>
                          <w:p w14:paraId="1BFF80F9" w14:textId="77777777" w:rsidR="00D41FC4" w:rsidRPr="00C75EB7" w:rsidRDefault="00D41FC4" w:rsidP="00C75EB7">
                            <w:pPr>
                              <w:rPr>
                                <w:color w:val="FFFFFF" w:themeColor="background1"/>
                                <w:sz w:val="56"/>
                                <w:szCs w:val="56"/>
                                <w:lang w:val="en-US"/>
                              </w:rPr>
                            </w:pPr>
                          </w:p>
                          <w:p w14:paraId="34039B03" w14:textId="77777777" w:rsidR="00D41FC4" w:rsidRPr="00C75EB7" w:rsidRDefault="00D41FC4" w:rsidP="00C75EB7">
                            <w:pPr>
                              <w:rPr>
                                <w:color w:val="FFFFFF" w:themeColor="background1"/>
                                <w:sz w:val="56"/>
                                <w:szCs w:val="56"/>
                                <w:lang w:val="en-US"/>
                              </w:rPr>
                            </w:pPr>
                          </w:p>
                          <w:p w14:paraId="095E91AB" w14:textId="77777777" w:rsidR="00D41FC4" w:rsidRPr="00C75EB7" w:rsidRDefault="00D41FC4" w:rsidP="00C75EB7">
                            <w:pPr>
                              <w:rPr>
                                <w:color w:val="FFFFFF" w:themeColor="background1"/>
                                <w:sz w:val="56"/>
                                <w:szCs w:val="56"/>
                                <w:lang w:val="en-US"/>
                              </w:rPr>
                            </w:pPr>
                          </w:p>
                          <w:p w14:paraId="0C06FCDB" w14:textId="77777777" w:rsidR="00D41FC4" w:rsidRPr="00C75EB7" w:rsidRDefault="00D41FC4" w:rsidP="00C75EB7">
                            <w:pPr>
                              <w:pStyle w:val="Heading1"/>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Introducción: un nuevo rol de las empresas ante los retos sociales y de desarrollo </w:t>
                            </w:r>
                          </w:p>
                          <w:p w14:paraId="031F05B9" w14:textId="77777777" w:rsidR="00D41FC4" w:rsidRPr="00C75EB7" w:rsidRDefault="00D41FC4" w:rsidP="00C75EB7">
                            <w:pPr>
                              <w:rPr>
                                <w:color w:val="FFFFFF" w:themeColor="background1"/>
                                <w:sz w:val="56"/>
                                <w:szCs w:val="56"/>
                                <w:lang w:val="en-US"/>
                              </w:rPr>
                            </w:pPr>
                          </w:p>
                          <w:p w14:paraId="582B4B78" w14:textId="77777777" w:rsidR="00D41FC4" w:rsidRPr="00C75EB7" w:rsidRDefault="00D41FC4" w:rsidP="00C75EB7">
                            <w:pPr>
                              <w:rPr>
                                <w:color w:val="FFFFFF" w:themeColor="background1"/>
                                <w:sz w:val="56"/>
                                <w:szCs w:val="56"/>
                                <w:lang w:val="en-US"/>
                              </w:rPr>
                            </w:pPr>
                          </w:p>
                          <w:p w14:paraId="0FFB1C75" w14:textId="77777777" w:rsidR="00D41FC4" w:rsidRPr="00C75EB7" w:rsidRDefault="00D41FC4" w:rsidP="00C75EB7">
                            <w:pPr>
                              <w:rPr>
                                <w:color w:val="FFFFFF" w:themeColor="background1"/>
                                <w:sz w:val="56"/>
                                <w:szCs w:val="56"/>
                                <w:lang w:val="en-US"/>
                              </w:rPr>
                            </w:pPr>
                          </w:p>
                          <w:p w14:paraId="2F7F612A" w14:textId="77777777" w:rsidR="00D41FC4" w:rsidRPr="00C75EB7" w:rsidRDefault="00D41FC4" w:rsidP="00C75EB7">
                            <w:pPr>
                              <w:rPr>
                                <w:color w:val="FFFFFF" w:themeColor="background1"/>
                                <w:sz w:val="56"/>
                                <w:szCs w:val="56"/>
                                <w:lang w:val="en-US"/>
                              </w:rPr>
                            </w:pPr>
                          </w:p>
                          <w:p w14:paraId="44BF45A0" w14:textId="77777777" w:rsidR="00D41FC4" w:rsidRPr="00C75EB7" w:rsidRDefault="00D41FC4" w:rsidP="00C75EB7">
                            <w:pPr>
                              <w:rPr>
                                <w:color w:val="FFFFFF" w:themeColor="background1"/>
                                <w:sz w:val="56"/>
                                <w:szCs w:val="56"/>
                                <w:lang w:val="en-US"/>
                              </w:rPr>
                            </w:pPr>
                          </w:p>
                          <w:p w14:paraId="78DEDBE5" w14:textId="77777777" w:rsidR="00D41FC4" w:rsidRPr="00C75EB7" w:rsidRDefault="00D41FC4" w:rsidP="00C75EB7">
                            <w:pPr>
                              <w:rPr>
                                <w:color w:val="FFFFFF" w:themeColor="background1"/>
                                <w:sz w:val="56"/>
                                <w:szCs w:val="56"/>
                                <w:lang w:val="en-US"/>
                              </w:rPr>
                            </w:pPr>
                          </w:p>
                          <w:p w14:paraId="18A6D90E" w14:textId="77777777" w:rsidR="00D41FC4" w:rsidRPr="00C75EB7" w:rsidRDefault="00D41FC4" w:rsidP="00C75EB7">
                            <w:pPr>
                              <w:rPr>
                                <w:color w:val="FFFFFF" w:themeColor="background1"/>
                                <w:sz w:val="56"/>
                                <w:szCs w:val="56"/>
                                <w:lang w:val="en-US"/>
                              </w:rPr>
                            </w:pPr>
                          </w:p>
                          <w:p w14:paraId="53E1A11C" w14:textId="77777777" w:rsidR="00D41FC4" w:rsidRPr="00C75EB7" w:rsidRDefault="00D41FC4" w:rsidP="00C75EB7">
                            <w:pPr>
                              <w:rPr>
                                <w:color w:val="FFFFFF" w:themeColor="background1"/>
                                <w:sz w:val="56"/>
                                <w:szCs w:val="56"/>
                                <w:lang w:val="en-US"/>
                              </w:rPr>
                            </w:pPr>
                          </w:p>
                          <w:p w14:paraId="11EEA3C3" w14:textId="77777777" w:rsidR="00D41FC4" w:rsidRPr="00C75EB7" w:rsidRDefault="00D41FC4" w:rsidP="00C75EB7">
                            <w:pPr>
                              <w:rPr>
                                <w:color w:val="FFFFFF" w:themeColor="background1"/>
                                <w:sz w:val="56"/>
                                <w:szCs w:val="56"/>
                                <w:lang w:val="en-US"/>
                              </w:rPr>
                            </w:pPr>
                          </w:p>
                          <w:p w14:paraId="0B0D3B99" w14:textId="77777777" w:rsidR="00D41FC4" w:rsidRPr="00C75EB7" w:rsidRDefault="00D41FC4" w:rsidP="00C75EB7">
                            <w:pPr>
                              <w:rPr>
                                <w:color w:val="FFFFFF" w:themeColor="background1"/>
                                <w:sz w:val="56"/>
                                <w:szCs w:val="56"/>
                                <w:lang w:val="en-US"/>
                              </w:rPr>
                            </w:pPr>
                          </w:p>
                          <w:p w14:paraId="15B40233" w14:textId="77777777" w:rsidR="00D41FC4" w:rsidRPr="00C75EB7" w:rsidRDefault="00D41FC4" w:rsidP="00C75EB7">
                            <w:pPr>
                              <w:rPr>
                                <w:color w:val="FFFFFF" w:themeColor="background1"/>
                                <w:sz w:val="56"/>
                                <w:szCs w:val="56"/>
                                <w:lang w:val="en-US"/>
                              </w:rPr>
                            </w:pPr>
                          </w:p>
                          <w:p w14:paraId="35C5190C" w14:textId="77777777" w:rsidR="00D41FC4" w:rsidRPr="00C75EB7" w:rsidRDefault="00D41FC4" w:rsidP="00C75EB7">
                            <w:pPr>
                              <w:rPr>
                                <w:color w:val="FFFFFF" w:themeColor="background1"/>
                                <w:sz w:val="56"/>
                                <w:szCs w:val="56"/>
                                <w:lang w:val="en-US"/>
                              </w:rPr>
                            </w:pPr>
                          </w:p>
                          <w:p w14:paraId="655EB5E0" w14:textId="77777777" w:rsidR="00D41FC4" w:rsidRPr="00C75EB7" w:rsidRDefault="00D41FC4" w:rsidP="00C75EB7">
                            <w:pPr>
                              <w:rPr>
                                <w:color w:val="FFFFFF" w:themeColor="background1"/>
                                <w:sz w:val="56"/>
                                <w:szCs w:val="56"/>
                                <w:lang w:val="en-US"/>
                              </w:rPr>
                            </w:pPr>
                          </w:p>
                          <w:p w14:paraId="7D744E61" w14:textId="77777777" w:rsidR="00D41FC4" w:rsidRPr="00C75EB7" w:rsidRDefault="00D41FC4" w:rsidP="00C75EB7">
                            <w:pPr>
                              <w:rPr>
                                <w:color w:val="FFFFFF" w:themeColor="background1"/>
                                <w:sz w:val="56"/>
                                <w:szCs w:val="56"/>
                                <w:lang w:val="en-US"/>
                              </w:rPr>
                            </w:pPr>
                          </w:p>
                          <w:p w14:paraId="71EFD0AD" w14:textId="77777777" w:rsidR="00D41FC4" w:rsidRPr="00C75EB7" w:rsidRDefault="00D41FC4" w:rsidP="00C75EB7">
                            <w:pPr>
                              <w:rPr>
                                <w:color w:val="FFFFFF" w:themeColor="background1"/>
                                <w:sz w:val="56"/>
                                <w:szCs w:val="56"/>
                                <w:lang w:val="en-US"/>
                              </w:rPr>
                            </w:pPr>
                          </w:p>
                          <w:p w14:paraId="18257D5A" w14:textId="77777777" w:rsidR="00D41FC4" w:rsidRPr="00C75EB7" w:rsidRDefault="00D41FC4" w:rsidP="00C75EB7">
                            <w:pPr>
                              <w:rPr>
                                <w:color w:val="FFFFFF" w:themeColor="background1"/>
                                <w:sz w:val="56"/>
                                <w:szCs w:val="56"/>
                                <w:lang w:val="en-US"/>
                              </w:rPr>
                            </w:pPr>
                          </w:p>
                          <w:p w14:paraId="7146ACF3" w14:textId="77777777" w:rsidR="00D41FC4" w:rsidRPr="00C75EB7" w:rsidRDefault="00D41FC4" w:rsidP="00C75EB7">
                            <w:pPr>
                              <w:rPr>
                                <w:color w:val="FFFFFF" w:themeColor="background1"/>
                                <w:sz w:val="56"/>
                                <w:szCs w:val="56"/>
                                <w:lang w:val="en-US"/>
                              </w:rPr>
                            </w:pPr>
                          </w:p>
                          <w:p w14:paraId="3F65DC84" w14:textId="77777777" w:rsidR="00D41FC4" w:rsidRPr="00C75EB7" w:rsidRDefault="00D41FC4" w:rsidP="00C75EB7">
                            <w:pPr>
                              <w:rPr>
                                <w:color w:val="FFFFFF" w:themeColor="background1"/>
                                <w:sz w:val="56"/>
                                <w:szCs w:val="56"/>
                                <w:lang w:val="en-US"/>
                              </w:rPr>
                            </w:pPr>
                          </w:p>
                          <w:p w14:paraId="41C97FB5" w14:textId="77777777" w:rsidR="00D41FC4" w:rsidRPr="00C75EB7" w:rsidRDefault="00D41FC4" w:rsidP="00C75EB7">
                            <w:pPr>
                              <w:rPr>
                                <w:color w:val="FFFFFF" w:themeColor="background1"/>
                                <w:sz w:val="56"/>
                                <w:szCs w:val="56"/>
                                <w:lang w:val="en-US"/>
                              </w:rPr>
                            </w:pPr>
                          </w:p>
                          <w:p w14:paraId="6A350EBB" w14:textId="77777777" w:rsidR="00D41FC4" w:rsidRPr="00C75EB7" w:rsidRDefault="00D41FC4" w:rsidP="00C75EB7">
                            <w:pPr>
                              <w:rPr>
                                <w:color w:val="FFFFFF" w:themeColor="background1"/>
                                <w:sz w:val="56"/>
                                <w:szCs w:val="56"/>
                                <w:lang w:val="en-US"/>
                              </w:rPr>
                            </w:pPr>
                          </w:p>
                          <w:p w14:paraId="1082FCD2" w14:textId="77777777" w:rsidR="00D41FC4" w:rsidRPr="00C75EB7" w:rsidRDefault="00D41FC4" w:rsidP="00C75EB7">
                            <w:pPr>
                              <w:rPr>
                                <w:color w:val="FFFFFF" w:themeColor="background1"/>
                                <w:sz w:val="56"/>
                                <w:szCs w:val="56"/>
                                <w:lang w:val="en-US"/>
                              </w:rPr>
                            </w:pPr>
                          </w:p>
                          <w:p w14:paraId="0C29B273" w14:textId="77777777" w:rsidR="00D41FC4" w:rsidRPr="00C75EB7" w:rsidRDefault="00D41FC4" w:rsidP="00C75EB7">
                            <w:pPr>
                              <w:rPr>
                                <w:color w:val="FFFFFF" w:themeColor="background1"/>
                                <w:sz w:val="56"/>
                                <w:szCs w:val="56"/>
                                <w:lang w:val="en-US"/>
                              </w:rPr>
                            </w:pPr>
                          </w:p>
                          <w:p w14:paraId="36AF950F" w14:textId="77777777" w:rsidR="00D41FC4" w:rsidRPr="00C75EB7" w:rsidRDefault="00D41FC4" w:rsidP="00C75EB7">
                            <w:pPr>
                              <w:rPr>
                                <w:color w:val="FFFFFF" w:themeColor="background1"/>
                                <w:sz w:val="56"/>
                                <w:szCs w:val="56"/>
                                <w:lang w:val="en-US"/>
                              </w:rPr>
                            </w:pPr>
                          </w:p>
                          <w:p w14:paraId="08F62B88" w14:textId="77777777" w:rsidR="00D41FC4" w:rsidRPr="00C75EB7" w:rsidRDefault="00D41FC4" w:rsidP="00C75EB7">
                            <w:pPr>
                              <w:rPr>
                                <w:color w:val="FFFFFF" w:themeColor="background1"/>
                                <w:sz w:val="56"/>
                                <w:szCs w:val="56"/>
                                <w:lang w:val="en-US"/>
                              </w:rPr>
                            </w:pPr>
                          </w:p>
                          <w:p w14:paraId="66F0B408" w14:textId="77777777" w:rsidR="00D41FC4" w:rsidRPr="00C75EB7" w:rsidRDefault="00D41FC4" w:rsidP="00C75EB7">
                            <w:pPr>
                              <w:rPr>
                                <w:color w:val="FFFFFF" w:themeColor="background1"/>
                                <w:sz w:val="56"/>
                                <w:szCs w:val="56"/>
                                <w:lang w:val="en-US"/>
                              </w:rPr>
                            </w:pPr>
                          </w:p>
                          <w:p w14:paraId="3B377684" w14:textId="77777777" w:rsidR="00D41FC4" w:rsidRPr="00C75EB7" w:rsidRDefault="00D41FC4" w:rsidP="00C75EB7">
                            <w:pPr>
                              <w:pStyle w:val="Heading1"/>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Introducción: un nuevo rol de las empresas ante los retos sociales y de desarrollo </w:t>
                            </w:r>
                          </w:p>
                          <w:p w14:paraId="59CA7719" w14:textId="77777777" w:rsidR="00D41FC4" w:rsidRPr="00C75EB7" w:rsidRDefault="00D41FC4" w:rsidP="00C75EB7">
                            <w:pPr>
                              <w:pStyle w:val="Heading1"/>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Los desafíos globales y el sector privado</w:t>
                            </w:r>
                          </w:p>
                          <w:p w14:paraId="4747EF6B" w14:textId="77777777" w:rsidR="00D41FC4" w:rsidRPr="00C75EB7" w:rsidRDefault="00D41FC4" w:rsidP="00C75EB7">
                            <w:pPr>
                              <w:spacing w:before="120" w:line="360" w:lineRule="auto"/>
                              <w:jc w:val="both"/>
                              <w:rPr>
                                <w:rFonts w:ascii="Arial" w:hAnsi="Arial" w:cs="Arial"/>
                                <w:bCs/>
                                <w:color w:val="FFFFFF" w:themeColor="background1"/>
                                <w:sz w:val="56"/>
                                <w:szCs w:val="56"/>
                              </w:rPr>
                            </w:pPr>
                            <w:r w:rsidRPr="00C75EB7">
                              <w:rPr>
                                <w:rFonts w:ascii="Arial" w:hAnsi="Arial" w:cs="Arial"/>
                                <w:color w:val="FFFFFF" w:themeColor="background1"/>
                                <w:sz w:val="56"/>
                                <w:szCs w:val="56"/>
                              </w:rPr>
                              <w:t>La extrema pobreza en el mundo llama a acciones urgentes. Más de  4000 millones de personas viven con menos de 2 dólares al día, más de 1000 millones no tienen acceso al agua potable, 1 600 no tiene electricidad y 5 400 no tienen acceso a Internet.</w:t>
                            </w:r>
                          </w:p>
                          <w:p w14:paraId="2DB8C6F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Los negocios inclusivos se enmarcan en una nueva ética de la responsabilidad frente a problemas sociales, en la que distintos actores del sector corporativo y financiero, tercer sector y sector público, se sienten emplazados a contribuir a la mejora de la situación de pobreza de las comunidades desfavorecidas (Cortina; 2003).</w:t>
                            </w:r>
                          </w:p>
                          <w:p w14:paraId="24B4FB0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Muchos de estos actores están reflexionando sobre su papel ante los retos sociales y ante la necesidad imperiosa de un nuevo paradigma de desarrollo basado en el crecimiento económico, la equidad y el desarrollo económico y social. Al mismo tiempo,  están surgiendo nuevas fórmulas para trabajar de forma conjunta y responder de manera más eficiente y  con mayor impacto</w:t>
                            </w:r>
                          </w:p>
                          <w:p w14:paraId="4E0FB9A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Cada uno de estos actores ha desarrollado estrategias e iniciativas para contribuir a este objetivo. Entre ellos, las empresas han asumido en los últimos años un mayor protagonismo en la aportación de soluciones a cuestiones como la exclusión social y la pobreza desde varias perspectivas.</w:t>
                            </w:r>
                          </w:p>
                          <w:p w14:paraId="4C5106C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i/>
                                <w:color w:val="FFFFFF" w:themeColor="background1"/>
                                <w:sz w:val="56"/>
                                <w:szCs w:val="56"/>
                              </w:rPr>
                            </w:pPr>
                            <w:r w:rsidRPr="00C75EB7">
                              <w:rPr>
                                <w:rFonts w:ascii="Arial" w:hAnsi="Arial" w:cs="Arial"/>
                                <w:color w:val="FFFFFF" w:themeColor="background1"/>
                                <w:sz w:val="56"/>
                                <w:szCs w:val="56"/>
                              </w:rPr>
                              <w:t>En un primer momento a través de la Responsabilidad Social Corporativa (RSC) o Responsabilidad Social Empresarial (RSE),  definida por el World Business Council for Sustainable Development (WBCSD) como “</w:t>
                            </w:r>
                            <w:r w:rsidRPr="00C75EB7">
                              <w:rPr>
                                <w:rFonts w:ascii="Arial" w:hAnsi="Arial" w:cs="Arial"/>
                                <w:i/>
                                <w:color w:val="FFFFFF" w:themeColor="background1"/>
                                <w:sz w:val="56"/>
                                <w:szCs w:val="56"/>
                              </w:rPr>
                              <w:t xml:space="preserve">El compromiso de la empresa para contribuir al desarrollo económico sostenido trabajando con los empleados, sus familias, la comunidad local y toda la sociedad para mejorar la calidad de vida”. </w:t>
                            </w:r>
                          </w:p>
                          <w:p w14:paraId="5B7E612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Posteriormente, surgen otro tipo de propuestas que destacan la oportunidad de llevar la lógica empresarial a las comunidades desfavorecidas como respuesta a la superación de la pobreza (Prahalad, 2005) y que  se centran en encontrar soluciones que tengan impacto social y además tengan viabilidad económica e idealmente rentabilidad financiera.</w:t>
                            </w:r>
                          </w:p>
                          <w:p w14:paraId="1A61F2F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noProof/>
                                <w:color w:val="FFFFFF" w:themeColor="background1"/>
                                <w:sz w:val="56"/>
                                <w:szCs w:val="56"/>
                                <w:lang w:val="en-US"/>
                              </w:rPr>
                              <w:drawing>
                                <wp:inline distT="0" distB="0" distL="0" distR="0" wp14:anchorId="07DC86CC" wp14:editId="322C0678">
                                  <wp:extent cx="5088890" cy="2528570"/>
                                  <wp:effectExtent l="0" t="0" r="0" b="0"/>
                                  <wp:docPr id="13364" name="Picture 13364"/>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0" cstate="print"/>
                                          <a:srcRect/>
                                          <a:stretch>
                                            <a:fillRect/>
                                          </a:stretch>
                                        </pic:blipFill>
                                        <pic:spPr bwMode="auto">
                                          <a:xfrm>
                                            <a:off x="0" y="0"/>
                                            <a:ext cx="5088890" cy="2528570"/>
                                          </a:xfrm>
                                          <a:prstGeom prst="rect">
                                            <a:avLst/>
                                          </a:prstGeom>
                                          <a:noFill/>
                                          <a:ln w="9525">
                                            <a:noFill/>
                                            <a:miter lim="800000"/>
                                            <a:headEnd/>
                                            <a:tailEnd/>
                                          </a:ln>
                                        </pic:spPr>
                                      </pic:pic>
                                    </a:graphicData>
                                  </a:graphic>
                                </wp:inline>
                              </w:drawing>
                            </w:r>
                          </w:p>
                          <w:p w14:paraId="3AB34A8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En esta línea, empieza a cambiar en el ámbito empresarial el concepto tradicional de los pobres necesitados para empezar a considerarles como potenciales consumidores y como trabajadores y emprendedores con alta capacidad de desempeño. Bajo esta premisa emerge un nuevo enfoque que implica el “asociarse con ellos para innovar y lograr escenarios ganadores en los cuales los pobres estén activamente comprometidos y donde, al mismo tiempo, las compañías que les suministran productos y servicios sean rentables.” (Prahalad; 2005:6) .</w:t>
                            </w:r>
                          </w:p>
                          <w:p w14:paraId="0B3F9BA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243116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1FED3E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8138BE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0EAC7A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9F94A8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BABD04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59618A4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E02D43C"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 ¿A quiénes pretenden incluir los Negocios Inclusivos?. El concepto de la Base de la Pirámide.</w:t>
                            </w:r>
                          </w:p>
                          <w:p w14:paraId="1D94C0BD" w14:textId="77777777" w:rsidR="00D41FC4" w:rsidRPr="00C75EB7" w:rsidRDefault="00D41FC4" w:rsidP="00C75EB7">
                            <w:pPr>
                              <w:widowControl w:val="0"/>
                              <w:autoSpaceDE w:val="0"/>
                              <w:autoSpaceDN w:val="0"/>
                              <w:adjustRightInd w:val="0"/>
                              <w:spacing w:before="120" w:after="30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Los negocios inclusivos se enfocan en el segmento socio-demográfico compuesto por la población pobre situada en el estrato económico inferior y se cuantifica en los 4000 millones de personas que viven con un ingreso diario inferior a dos dólares, (en paridad de poder adquisitivo). A este segmento de la población mundial se la conoce como Base de la Pirámide (Prahalad, 2005).</w:t>
                            </w:r>
                          </w:p>
                          <w:p w14:paraId="6EB2DC50" w14:textId="77777777" w:rsidR="00D41FC4" w:rsidRPr="00C75EB7" w:rsidRDefault="00D41FC4" w:rsidP="00C75EB7">
                            <w:pPr>
                              <w:widowControl w:val="0"/>
                              <w:autoSpaceDE w:val="0"/>
                              <w:autoSpaceDN w:val="0"/>
                              <w:adjustRightInd w:val="0"/>
                              <w:spacing w:before="120" w:after="30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La Base de la Pirámide se caracteriza principalmente por operar en la economía informal, tener un amplio número de necesidades básicas insatisfechas, así como restricciones que les impiden participar activamente en las economías de mercado, careciendo de acceso a bienes y servicios para garantizar su propio desarrollo.</w:t>
                            </w:r>
                          </w:p>
                          <w:p w14:paraId="5EBAD81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Sin embargo, si cambiamos la perspectiva, podemos observar el sector como un mercado estimulante y de  rápido crecimiento. Colectivamente, los miles de millones de pobres del mundo, especialmente en Asia, África y en regiones de Europa del Este y América Latina y el Caribe, tienen enormes capacidades empresariales y de compra.</w:t>
                            </w:r>
                          </w:p>
                          <w:p w14:paraId="4101652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El nuevo rol de las empresas como agente que asume su responsabilidad frente a problemas de pobreza y exclusión social y el cambio de paradigma en el que los segmentos desfavorecidos empiezan a considerarse como interesantes nichos de negocio, han permitido el desarrollo del concepto de negocios inclusivos.</w:t>
                            </w:r>
                          </w:p>
                          <w:p w14:paraId="6D91EE0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Desde este punto de partida se  han venido elaborando </w:t>
                            </w:r>
                            <w:r w:rsidRPr="00C75EB7">
                              <w:rPr>
                                <w:rFonts w:ascii="Arial" w:hAnsi="Arial" w:cs="Arial"/>
                                <w:color w:val="FFFFFF" w:themeColor="background1"/>
                                <w:sz w:val="56"/>
                                <w:szCs w:val="56"/>
                              </w:rPr>
                              <w:tab/>
                              <w:t>un cuerpo</w:t>
                            </w:r>
                            <w:r w:rsidRPr="00C75EB7">
                              <w:rPr>
                                <w:rFonts w:ascii="Arial" w:hAnsi="Arial" w:cs="Arial"/>
                                <w:color w:val="FFFFFF" w:themeColor="background1"/>
                                <w:sz w:val="56"/>
                                <w:szCs w:val="56"/>
                              </w:rPr>
                              <w:tab/>
                              <w:t>de conceptos, principalmente</w:t>
                            </w:r>
                            <w:r w:rsidRPr="00C75EB7">
                              <w:rPr>
                                <w:rFonts w:ascii="Arial" w:hAnsi="Arial" w:cs="Arial"/>
                                <w:color w:val="FFFFFF" w:themeColor="background1"/>
                                <w:sz w:val="56"/>
                                <w:szCs w:val="56"/>
                              </w:rPr>
                              <w:tab/>
                              <w:t>desde</w:t>
                            </w:r>
                            <w:r w:rsidRPr="00C75EB7">
                              <w:rPr>
                                <w:rFonts w:ascii="Arial" w:hAnsi="Arial" w:cs="Arial"/>
                                <w:color w:val="FFFFFF" w:themeColor="background1"/>
                                <w:sz w:val="56"/>
                                <w:szCs w:val="56"/>
                              </w:rPr>
                              <w:tab/>
                              <w:t>las</w:t>
                            </w:r>
                            <w:r w:rsidRPr="00C75EB7">
                              <w:rPr>
                                <w:rFonts w:ascii="Arial" w:hAnsi="Arial" w:cs="Arial"/>
                                <w:color w:val="FFFFFF" w:themeColor="background1"/>
                                <w:sz w:val="56"/>
                                <w:szCs w:val="56"/>
                              </w:rPr>
                              <w:tab/>
                              <w:t>organizaciones internacionales de desarrollo y desde las escuelas de administración, que describen los alcances y el propósito</w:t>
                            </w:r>
                            <w:r w:rsidRPr="00C75EB7">
                              <w:rPr>
                                <w:rFonts w:ascii="Arial" w:hAnsi="Arial" w:cs="Arial"/>
                                <w:color w:val="FFFFFF" w:themeColor="background1"/>
                                <w:sz w:val="56"/>
                                <w:szCs w:val="56"/>
                              </w:rPr>
                              <w:tab/>
                              <w:t>de los</w:t>
                            </w:r>
                            <w:r w:rsidRPr="00C75EB7">
                              <w:rPr>
                                <w:rFonts w:ascii="Arial" w:hAnsi="Arial" w:cs="Arial"/>
                                <w:color w:val="FFFFFF" w:themeColor="background1"/>
                                <w:sz w:val="56"/>
                                <w:szCs w:val="56"/>
                              </w:rPr>
                              <w:tab/>
                              <w:t>negocios</w:t>
                            </w:r>
                            <w:r w:rsidRPr="00C75EB7">
                              <w:rPr>
                                <w:rFonts w:ascii="Arial" w:hAnsi="Arial" w:cs="Arial"/>
                                <w:color w:val="FFFFFF" w:themeColor="background1"/>
                                <w:sz w:val="56"/>
                                <w:szCs w:val="56"/>
                              </w:rPr>
                              <w:tab/>
                              <w:t xml:space="preserve">inclusivos. </w:t>
                            </w:r>
                            <w:r w:rsidRPr="00C75EB7">
                              <w:rPr>
                                <w:rFonts w:ascii="Arial" w:hAnsi="Arial" w:cs="Arial"/>
                                <w:color w:val="FFFFFF" w:themeColor="background1"/>
                                <w:sz w:val="56"/>
                                <w:szCs w:val="56"/>
                              </w:rPr>
                              <w:tab/>
                              <w:t>En este capítulo adoptamos la definición e AVINA según la cual los Negocios Inclusivos son:</w:t>
                            </w:r>
                          </w:p>
                          <w:p w14:paraId="1265FF4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p>
                          <w:p w14:paraId="6DFF1431"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noProof/>
                                <w:color w:val="FFFFFF" w:themeColor="background1"/>
                                <w:sz w:val="56"/>
                                <w:szCs w:val="56"/>
                                <w:lang w:val="en-US"/>
                              </w:rPr>
                              <w:drawing>
                                <wp:inline distT="0" distB="0" distL="0" distR="0" wp14:anchorId="5E00F293" wp14:editId="6566C818">
                                  <wp:extent cx="3648710" cy="2519680"/>
                                  <wp:effectExtent l="0" t="0" r="0" b="0"/>
                                  <wp:docPr id="13365" name="Picture 1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648710" cy="2519680"/>
                                          </a:xfrm>
                                          <a:prstGeom prst="rect">
                                            <a:avLst/>
                                          </a:prstGeom>
                                          <a:noFill/>
                                          <a:ln w="9525">
                                            <a:noFill/>
                                            <a:miter lim="800000"/>
                                            <a:headEnd/>
                                            <a:tailEnd/>
                                          </a:ln>
                                        </pic:spPr>
                                      </pic:pic>
                                    </a:graphicData>
                                  </a:graphic>
                                </wp:inline>
                              </w:drawing>
                            </w:r>
                            <w:r w:rsidRPr="00C75EB7">
                              <w:rPr>
                                <w:rFonts w:ascii="Arial" w:hAnsi="Arial" w:cs="Arial"/>
                                <w:color w:val="FFFFFF" w:themeColor="background1"/>
                                <w:sz w:val="56"/>
                                <w:szCs w:val="56"/>
                              </w:rPr>
                              <w:t>“Iniciativas empresariales económicamente rentables, y ambiental / socialmente responsables, que en una lógica de mutuo beneficio incorporan en sus cadenas de valor a comunidades de bajos ingresos y mejoran su calidad de vida a través de:</w:t>
                            </w:r>
                            <w:r w:rsidRPr="00C75EB7">
                              <w:rPr>
                                <w:rFonts w:ascii="Arial" w:eastAsia="MS Gothic" w:hAnsi="Arial" w:cs="Arial"/>
                                <w:color w:val="FFFFFF" w:themeColor="background1"/>
                                <w:sz w:val="56"/>
                                <w:szCs w:val="56"/>
                              </w:rPr>
                              <w:t> </w:t>
                            </w:r>
                          </w:p>
                          <w:p w14:paraId="6DB68DFD" w14:textId="77777777" w:rsidR="00D41FC4" w:rsidRPr="00C75EB7" w:rsidRDefault="00D41FC4" w:rsidP="00C75EB7">
                            <w:pPr>
                              <w:widowControl w:val="0"/>
                              <w:autoSpaceDE w:val="0"/>
                              <w:autoSpaceDN w:val="0"/>
                              <w:adjustRightInd w:val="0"/>
                              <w:spacing w:after="280" w:line="360" w:lineRule="auto"/>
                              <w:ind w:left="720"/>
                              <w:jc w:val="both"/>
                              <w:rPr>
                                <w:rFonts w:ascii="Arial" w:hAnsi="Arial" w:cs="Arial"/>
                                <w:color w:val="FFFFFF" w:themeColor="background1"/>
                                <w:sz w:val="56"/>
                                <w:szCs w:val="56"/>
                              </w:rPr>
                            </w:pPr>
                            <w:r w:rsidRPr="00C75EB7">
                              <w:rPr>
                                <w:rFonts w:ascii="Arial" w:eastAsia="MS Gothic" w:hAnsi="Arial" w:cs="Arial"/>
                                <w:color w:val="FFFFFF" w:themeColor="background1"/>
                                <w:sz w:val="56"/>
                                <w:szCs w:val="56"/>
                              </w:rPr>
                              <w:t> </w:t>
                            </w:r>
                            <w:r w:rsidRPr="00C75EB7">
                              <w:rPr>
                                <w:rFonts w:ascii="Arial" w:hAnsi="Arial" w:cs="Arial"/>
                                <w:color w:val="FFFFFF" w:themeColor="background1"/>
                                <w:sz w:val="56"/>
                                <w:szCs w:val="56"/>
                              </w:rPr>
                              <w:t>• su participación en la cadena de valor como agentes que agregan valor a bienes o servicios, proveedores de materia prima, o vendedores/distribuidores de bienes o servicios; y/o</w:t>
                            </w:r>
                          </w:p>
                          <w:p w14:paraId="0F721C39" w14:textId="77777777" w:rsidR="00D41FC4" w:rsidRPr="00C75EB7" w:rsidRDefault="00D41FC4" w:rsidP="00C75EB7">
                            <w:pPr>
                              <w:widowControl w:val="0"/>
                              <w:autoSpaceDE w:val="0"/>
                              <w:autoSpaceDN w:val="0"/>
                              <w:adjustRightInd w:val="0"/>
                              <w:spacing w:after="280" w:line="360" w:lineRule="auto"/>
                              <w:ind w:left="720"/>
                              <w:jc w:val="both"/>
                              <w:rPr>
                                <w:rFonts w:ascii="Arial" w:hAnsi="Arial" w:cs="Arial"/>
                                <w:color w:val="FFFFFF" w:themeColor="background1"/>
                                <w:sz w:val="56"/>
                                <w:szCs w:val="56"/>
                              </w:rPr>
                            </w:pPr>
                            <w:r w:rsidRPr="00C75EB7">
                              <w:rPr>
                                <w:rFonts w:ascii="Arial" w:hAnsi="Arial" w:cs="Arial"/>
                                <w:color w:val="FFFFFF" w:themeColor="background1"/>
                                <w:sz w:val="56"/>
                                <w:szCs w:val="56"/>
                              </w:rPr>
                              <w:t>• su acceso a servicios básicos esenciales o necesidades básicas insatisfechas de mejor calidad o a menor precio”.</w:t>
                            </w:r>
                          </w:p>
                          <w:p w14:paraId="27B16D2F"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 partir de esta definición, analizamos en las siguientes secciones los beneficios y retos de este tipo de negocios.</w:t>
                            </w:r>
                          </w:p>
                          <w:p w14:paraId="5CB65992"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Los beneficios de los negocios inclusivos para las empresas y para la Base de la Pirámide</w:t>
                            </w:r>
                          </w:p>
                          <w:p w14:paraId="5A972A67"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¿Por qué se interesan las empresas en la Base de la Pirámide?</w:t>
                            </w:r>
                          </w:p>
                          <w:p w14:paraId="74428EA0"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Los beneficios para las empresas</w:t>
                            </w:r>
                          </w:p>
                          <w:p w14:paraId="38668ED4"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Beneficios de incluir a los pobres en la cadena de valor empresarial como consumidores</w:t>
                            </w:r>
                          </w:p>
                          <w:p w14:paraId="51823AD9"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En primer lugar, el cambio de paradigma descrito anteriormente y la toma conciencia de que este sector socioeconómico representa un gran porcentaje de la población  con necesidades de bienes y servicios no cubiertas (</w:t>
                            </w:r>
                            <w:r w:rsidRPr="00C75EB7">
                              <w:rPr>
                                <w:rFonts w:ascii="Arial" w:hAnsi="Arial" w:cs="Arial"/>
                                <w:b/>
                                <w:color w:val="FFFFFF" w:themeColor="background1"/>
                                <w:sz w:val="56"/>
                                <w:szCs w:val="56"/>
                              </w:rPr>
                              <w:t>consumidores potenciales),</w:t>
                            </w:r>
                            <w:r w:rsidRPr="00C75EB7">
                              <w:rPr>
                                <w:rFonts w:ascii="Arial" w:hAnsi="Arial" w:cs="Arial"/>
                                <w:color w:val="FFFFFF" w:themeColor="background1"/>
                                <w:sz w:val="56"/>
                                <w:szCs w:val="56"/>
                              </w:rPr>
                              <w:t xml:space="preserve"> supone </w:t>
                            </w:r>
                            <w:r w:rsidRPr="00C75EB7">
                              <w:rPr>
                                <w:rFonts w:ascii="Arial" w:hAnsi="Arial" w:cs="Arial"/>
                                <w:b/>
                                <w:color w:val="FFFFFF" w:themeColor="background1"/>
                                <w:sz w:val="56"/>
                                <w:szCs w:val="56"/>
                              </w:rPr>
                              <w:t>una oportunidad para las empresas de crecer y desarrollar nuevos mercados.</w:t>
                            </w:r>
                            <w:r w:rsidRPr="00C75EB7">
                              <w:rPr>
                                <w:rFonts w:ascii="Arial" w:hAnsi="Arial" w:cs="Arial"/>
                                <w:color w:val="FFFFFF" w:themeColor="background1"/>
                                <w:sz w:val="56"/>
                                <w:szCs w:val="56"/>
                              </w:rPr>
                              <w:t xml:space="preserve"> Una vez que las empresas cambian su perspectiva frente a los sectores excluidos, se abren oportunidades para buscar fórmulas y diseñar productos y servicios que se adapten a las necesidades de estos mercado no cubiertos. </w:t>
                            </w:r>
                          </w:p>
                          <w:p w14:paraId="0C187CE3"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En el marco de estos nuevos modelos, las empresa se beneficia doblemente, </w:t>
                            </w:r>
                            <w:r w:rsidRPr="00C75EB7">
                              <w:rPr>
                                <w:rFonts w:ascii="Arial" w:hAnsi="Arial" w:cs="Arial"/>
                                <w:b/>
                                <w:color w:val="FFFFFF" w:themeColor="background1"/>
                                <w:sz w:val="56"/>
                                <w:szCs w:val="56"/>
                              </w:rPr>
                              <w:t>generando rentabilidad</w:t>
                            </w:r>
                            <w:r w:rsidRPr="00C75EB7">
                              <w:rPr>
                                <w:rFonts w:ascii="Arial" w:hAnsi="Arial" w:cs="Arial"/>
                                <w:color w:val="FFFFFF" w:themeColor="background1"/>
                                <w:sz w:val="56"/>
                                <w:szCs w:val="56"/>
                              </w:rPr>
                              <w:t xml:space="preserve"> y al mismo tiempo fomentando el desarrollo económico para los excluidos, lo que contribuye, a su vez, a mejorar su </w:t>
                            </w:r>
                            <w:r w:rsidRPr="00C75EB7">
                              <w:rPr>
                                <w:rFonts w:ascii="Arial" w:hAnsi="Arial" w:cs="Arial"/>
                                <w:b/>
                                <w:color w:val="FFFFFF" w:themeColor="background1"/>
                                <w:sz w:val="56"/>
                                <w:szCs w:val="56"/>
                              </w:rPr>
                              <w:t>reputación.</w:t>
                            </w:r>
                            <w:r w:rsidRPr="00C75EB7">
                              <w:rPr>
                                <w:rFonts w:ascii="Arial" w:hAnsi="Arial" w:cs="Arial"/>
                                <w:color w:val="FFFFFF" w:themeColor="background1"/>
                                <w:sz w:val="56"/>
                                <w:szCs w:val="56"/>
                              </w:rPr>
                              <w:t xml:space="preserve"> La búsqueda de soluciones creativas para desarrollar productos y servicios que se adapten a nuevos mercados también impulsa la </w:t>
                            </w:r>
                            <w:r w:rsidRPr="00C75EB7">
                              <w:rPr>
                                <w:rFonts w:ascii="Arial" w:hAnsi="Arial" w:cs="Arial"/>
                                <w:b/>
                                <w:color w:val="FFFFFF" w:themeColor="background1"/>
                                <w:sz w:val="56"/>
                                <w:szCs w:val="56"/>
                              </w:rPr>
                              <w:t>capacidad de innovar</w:t>
                            </w:r>
                            <w:r w:rsidRPr="00C75EB7">
                              <w:rPr>
                                <w:rFonts w:ascii="Arial" w:hAnsi="Arial" w:cs="Arial"/>
                                <w:color w:val="FFFFFF" w:themeColor="background1"/>
                                <w:sz w:val="56"/>
                                <w:szCs w:val="56"/>
                              </w:rPr>
                              <w:t xml:space="preserve"> de la empresa. Por ejemplo, la multinacional de telecomunicaciones Motorola ha desarrollado un micro-teléfono según las características y las necesidades de un segmento de la población de bajos ingresos en India. El precio del teléfono es 30 dólares y fue desarrollado para poder dar instrucciones al usuario por medio de audio en lugar de texto, en el caso de que el usuario no sepa leer y escribir. Además, la pantalla es reflectante para que se pueda usar sin problemas en exteriores, y la batería tiene un tiempo de </w:t>
                            </w:r>
                            <w:r w:rsidRPr="00C75EB7">
                              <w:rPr>
                                <w:rFonts w:ascii="Arial" w:hAnsi="Arial" w:cs="Arial"/>
                                <w:noProof/>
                                <w:color w:val="FFFFFF" w:themeColor="background1"/>
                                <w:sz w:val="56"/>
                                <w:szCs w:val="56"/>
                                <w:lang w:val="en-US"/>
                              </w:rPr>
                              <w:drawing>
                                <wp:inline distT="0" distB="0" distL="0" distR="0" wp14:anchorId="331720A1" wp14:editId="194B8726">
                                  <wp:extent cx="5234940" cy="2993390"/>
                                  <wp:effectExtent l="0" t="0" r="0" b="0"/>
                                  <wp:docPr id="13366" name="Picture 1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34940" cy="2993390"/>
                                          </a:xfrm>
                                          <a:prstGeom prst="rect">
                                            <a:avLst/>
                                          </a:prstGeom>
                                          <a:noFill/>
                                        </pic:spPr>
                                      </pic:pic>
                                    </a:graphicData>
                                  </a:graphic>
                                </wp:inline>
                              </w:drawing>
                            </w:r>
                            <w:r w:rsidRPr="00C75EB7">
                              <w:rPr>
                                <w:rFonts w:ascii="Arial" w:hAnsi="Arial" w:cs="Arial"/>
                                <w:color w:val="FFFFFF" w:themeColor="background1"/>
                                <w:sz w:val="56"/>
                                <w:szCs w:val="56"/>
                              </w:rPr>
                              <w:t>reserva de dos semanas (Hammond et al., 2007).</w:t>
                            </w:r>
                          </w:p>
                          <w:p w14:paraId="227BD314"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Beneficios de incluir a los pobres en la cadena de valor como proveedores, vendedores o distribuidores</w:t>
                            </w:r>
                          </w:p>
                          <w:p w14:paraId="035D6C1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En segundo lugar, el otro cambio de paradigma, el que supone una visión de los pobres como posibles agentes que agregan valor, en tanto que proveedores de materia prima, o vendedores/distribuidores de bienes o servicios, también aporta beneficios a las empresas. </w:t>
                            </w:r>
                          </w:p>
                          <w:p w14:paraId="3208E00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Este nuevo enfoque permite </w:t>
                            </w:r>
                            <w:r w:rsidRPr="00C75EB7">
                              <w:rPr>
                                <w:rFonts w:ascii="Arial" w:hAnsi="Arial" w:cs="Arial"/>
                                <w:b/>
                                <w:color w:val="FFFFFF" w:themeColor="background1"/>
                                <w:sz w:val="56"/>
                                <w:szCs w:val="56"/>
                              </w:rPr>
                              <w:t>aumentar la fiabilidad en la cadena de valor</w:t>
                            </w:r>
                            <w:r w:rsidRPr="00C75EB7">
                              <w:rPr>
                                <w:rFonts w:ascii="Arial" w:hAnsi="Arial" w:cs="Arial"/>
                                <w:color w:val="FFFFFF" w:themeColor="background1"/>
                                <w:sz w:val="56"/>
                                <w:szCs w:val="56"/>
                              </w:rPr>
                              <w:t xml:space="preserve"> ampliando las posibilidades de reducir costes y mejorar la flexibilidad  y  el desarrollo de las propias empresas en los países en desarrollo. Además,  en  muchos casos, los negocios inclusivos permiten </w:t>
                            </w:r>
                            <w:r w:rsidRPr="00C75EB7">
                              <w:rPr>
                                <w:rFonts w:ascii="Arial" w:hAnsi="Arial" w:cs="Arial"/>
                                <w:b/>
                                <w:color w:val="FFFFFF" w:themeColor="background1"/>
                                <w:sz w:val="56"/>
                                <w:szCs w:val="56"/>
                              </w:rPr>
                              <w:t>mejorar los canales de distribución</w:t>
                            </w:r>
                            <w:r w:rsidRPr="00C75EB7">
                              <w:rPr>
                                <w:rFonts w:ascii="Arial" w:hAnsi="Arial" w:cs="Arial"/>
                                <w:color w:val="FFFFFF" w:themeColor="background1"/>
                                <w:sz w:val="56"/>
                                <w:szCs w:val="56"/>
                              </w:rPr>
                              <w:t>, aportando nuevos modelos de entrega de productos y servicios en los que la población de bajos ingresos se sienten incluidos.</w:t>
                            </w:r>
                          </w:p>
                          <w:p w14:paraId="1986A045"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Los beneficios para la Base de la Pirámide</w:t>
                            </w:r>
                          </w:p>
                          <w:p w14:paraId="5CBF2DF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
                                <w:color w:val="FFFFFF" w:themeColor="background1"/>
                                <w:sz w:val="56"/>
                                <w:szCs w:val="56"/>
                              </w:rPr>
                              <w:t xml:space="preserve">Al diseñar productos y servicios a adaptados a las necesidades de la Base de la Pirámide los </w:t>
                            </w:r>
                            <w:r w:rsidRPr="00C75EB7">
                              <w:rPr>
                                <w:rFonts w:ascii="Arial" w:hAnsi="Arial" w:cs="Arial"/>
                                <w:color w:val="FFFFFF" w:themeColor="background1"/>
                                <w:sz w:val="56"/>
                                <w:szCs w:val="56"/>
                              </w:rPr>
                              <w:t xml:space="preserve"> negocios inclusivos pueden ayudar a la población de bajos ingresos a satisfacer sus necesidades básicas de alimentos, suministros de salud, agua, saneamiento y vivienda, mejorando su acceso a estos productos o servicios</w:t>
                            </w:r>
                          </w:p>
                          <w:p w14:paraId="2D54223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FB199F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noProof/>
                                <w:color w:val="FFFFFF" w:themeColor="background1"/>
                                <w:sz w:val="56"/>
                                <w:szCs w:val="56"/>
                                <w:lang w:val="en-US"/>
                              </w:rPr>
                              <w:drawing>
                                <wp:inline distT="0" distB="0" distL="0" distR="0" wp14:anchorId="018C7B4D" wp14:editId="0562D8D2">
                                  <wp:extent cx="5040419" cy="2913321"/>
                                  <wp:effectExtent l="25400" t="0" r="0" b="0"/>
                                  <wp:docPr id="133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056402" cy="2922559"/>
                                          </a:xfrm>
                                          <a:prstGeom prst="rect">
                                            <a:avLst/>
                                          </a:prstGeom>
                                          <a:noFill/>
                                        </pic:spPr>
                                      </pic:pic>
                                    </a:graphicData>
                                  </a:graphic>
                                </wp:inline>
                              </w:drawing>
                            </w:r>
                            <w:r w:rsidRPr="00C75EB7">
                              <w:rPr>
                                <w:rFonts w:ascii="Arial" w:hAnsi="Arial" w:cs="Arial"/>
                                <w:color w:val="FFFFFF" w:themeColor="background1"/>
                                <w:sz w:val="56"/>
                                <w:szCs w:val="56"/>
                              </w:rPr>
                              <w:t xml:space="preserve">Una vez incluidos en la cadena de valor, los pobres suelen </w:t>
                            </w:r>
                            <w:r w:rsidRPr="00C75EB7">
                              <w:rPr>
                                <w:rFonts w:ascii="Arial" w:hAnsi="Arial" w:cs="Arial"/>
                                <w:b/>
                                <w:color w:val="FFFFFF" w:themeColor="background1"/>
                                <w:sz w:val="56"/>
                                <w:szCs w:val="56"/>
                              </w:rPr>
                              <w:t xml:space="preserve">incrementar su productividad </w:t>
                            </w:r>
                            <w:r w:rsidRPr="00C75EB7">
                              <w:rPr>
                                <w:rFonts w:ascii="Arial" w:hAnsi="Arial" w:cs="Arial"/>
                                <w:color w:val="FFFFFF" w:themeColor="background1"/>
                                <w:sz w:val="56"/>
                                <w:szCs w:val="56"/>
                              </w:rPr>
                              <w:t xml:space="preserve">a través del acceso a equipamiento de producción, servicios financieros, tecnologías de la información y  a las comunicaciones, entre otros. Otro efecto importante es la </w:t>
                            </w:r>
                            <w:r w:rsidRPr="00C75EB7">
                              <w:rPr>
                                <w:rFonts w:ascii="Arial" w:hAnsi="Arial" w:cs="Arial"/>
                                <w:b/>
                                <w:color w:val="FFFFFF" w:themeColor="background1"/>
                                <w:sz w:val="56"/>
                                <w:szCs w:val="56"/>
                              </w:rPr>
                              <w:t>mejora de capacidades.</w:t>
                            </w:r>
                            <w:r w:rsidRPr="00C75EB7">
                              <w:rPr>
                                <w:rFonts w:ascii="Arial" w:hAnsi="Arial" w:cs="Arial"/>
                                <w:color w:val="FFFFFF" w:themeColor="background1"/>
                                <w:sz w:val="56"/>
                                <w:szCs w:val="56"/>
                              </w:rPr>
                              <w:t xml:space="preserve"> En este sentido, los pobres suelen carecer de capacidades de gestión y organización y de acceso a la tecnología, lo que les deja frecuentemente en una situación de desventaja competitiva en el mercado. Los negocios inclusivos aportan soluciones desarrollando las capacidades de los pobres.</w:t>
                            </w:r>
                          </w:p>
                          <w:p w14:paraId="2B6D11A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El aumento de la productividad y mejora de sus capacidades y las nuevas oportunidades económicas que se les presentan, ya sea como empleados, proveedores, distribuidores o socios de las empresas les permite también </w:t>
                            </w:r>
                            <w:r w:rsidRPr="00C75EB7">
                              <w:rPr>
                                <w:rFonts w:ascii="Arial" w:hAnsi="Arial" w:cs="Arial"/>
                                <w:b/>
                                <w:color w:val="FFFFFF" w:themeColor="background1"/>
                                <w:sz w:val="56"/>
                                <w:szCs w:val="56"/>
                              </w:rPr>
                              <w:t>aumentar sus ingresos y salir en muchos casos de su situación de exclusión y pobreza</w:t>
                            </w:r>
                            <w:r w:rsidRPr="00C75EB7">
                              <w:rPr>
                                <w:rFonts w:ascii="Arial" w:hAnsi="Arial" w:cs="Arial"/>
                                <w:color w:val="FFFFFF" w:themeColor="background1"/>
                                <w:sz w:val="56"/>
                                <w:szCs w:val="56"/>
                              </w:rPr>
                              <w:t>.</w:t>
                            </w:r>
                          </w:p>
                          <w:p w14:paraId="124AAA28"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Algunos retos a los que se enfrentan las empresas para diseñar estrategias de negocios inclusivos y algunas propuestas para superarlos</w:t>
                            </w:r>
                          </w:p>
                          <w:p w14:paraId="556E7162"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900A6E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Si los beneficios son tan numerosos, ¿por qué no hay una inversión significativa en estos mercados por parte de la mayoría de las empresas?</w:t>
                            </w:r>
                          </w:p>
                          <w:p w14:paraId="7910A24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Existe un conjunto de restricciones en las condiciones de mercado que rodean a los pobres, que pueden convertir cualquier negocio en una iniciativa difícil, arriesgada y cara. A continuación se detallan algunas de esas restricciones y algunas propuestas para superarlas o mitigarlas:</w:t>
                            </w:r>
                          </w:p>
                          <w:p w14:paraId="0E2E188C"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Desconocimiento del sector</w:t>
                            </w:r>
                          </w:p>
                          <w:p w14:paraId="1970607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
                                <w:color w:val="FFFFFF" w:themeColor="background1"/>
                                <w:sz w:val="56"/>
                                <w:szCs w:val="56"/>
                              </w:rPr>
                              <w:t xml:space="preserve">El primer reto está relacionado con la falta de conocimiento que tienen las empresas sobre el sector de la Base de la Pirámide, </w:t>
                            </w:r>
                            <w:r w:rsidRPr="00C75EB7">
                              <w:rPr>
                                <w:rFonts w:ascii="Arial" w:hAnsi="Arial" w:cs="Arial"/>
                                <w:color w:val="FFFFFF" w:themeColor="background1"/>
                                <w:sz w:val="56"/>
                                <w:szCs w:val="56"/>
                              </w:rPr>
                              <w:t>sus preferencias, el tipo de productos que necesitan y a los que pueden tener acceso con sus recursos limitados, así como qué tipo de productos y capacidades pueden aportar como empleados, productores o emprendedores.</w:t>
                            </w:r>
                          </w:p>
                          <w:p w14:paraId="07328D0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b/>
                                <w:color w:val="FFFFFF" w:themeColor="background1"/>
                                <w:sz w:val="56"/>
                                <w:szCs w:val="56"/>
                              </w:rPr>
                            </w:pPr>
                            <w:r w:rsidRPr="00C75EB7">
                              <w:rPr>
                                <w:rFonts w:ascii="Arial" w:hAnsi="Arial" w:cs="Arial"/>
                                <w:color w:val="FFFFFF" w:themeColor="background1"/>
                                <w:sz w:val="56"/>
                                <w:szCs w:val="56"/>
                              </w:rPr>
                              <w:t xml:space="preserve">Para superar este reto y aumentar el conocimiento del contexto social y empresarial local, las empresas pueden empezar </w:t>
                            </w:r>
                            <w:r w:rsidRPr="00C75EB7">
                              <w:rPr>
                                <w:rFonts w:ascii="Arial" w:hAnsi="Arial" w:cs="Arial"/>
                                <w:b/>
                                <w:color w:val="FFFFFF" w:themeColor="background1"/>
                                <w:sz w:val="56"/>
                                <w:szCs w:val="56"/>
                              </w:rPr>
                              <w:t>por apalancar las fortalezas de los pobres</w:t>
                            </w:r>
                            <w:r w:rsidRPr="00C75EB7">
                              <w:rPr>
                                <w:rFonts w:ascii="Arial" w:hAnsi="Arial" w:cs="Arial"/>
                                <w:color w:val="FFFFFF" w:themeColor="background1"/>
                                <w:sz w:val="56"/>
                                <w:szCs w:val="56"/>
                              </w:rPr>
                              <w:t xml:space="preserve"> consultando a los interesados, </w:t>
                            </w:r>
                            <w:r w:rsidRPr="00C75EB7">
                              <w:rPr>
                                <w:rFonts w:ascii="Arial" w:hAnsi="Arial" w:cs="Arial"/>
                                <w:b/>
                                <w:color w:val="FFFFFF" w:themeColor="background1"/>
                                <w:sz w:val="56"/>
                                <w:szCs w:val="56"/>
                              </w:rPr>
                              <w:t>analizando sus necesidades y adaptándose a ellas</w:t>
                            </w:r>
                            <w:r w:rsidRPr="00C75EB7">
                              <w:rPr>
                                <w:rFonts w:ascii="Arial" w:hAnsi="Arial" w:cs="Arial"/>
                                <w:color w:val="FFFFFF" w:themeColor="background1"/>
                                <w:sz w:val="56"/>
                                <w:szCs w:val="56"/>
                              </w:rPr>
                              <w:t xml:space="preserve"> y localizando los productos y servicios que necesitan. Para ello, es importante promover una actitud dinámica y flexible que permita adaptarse al cambio de contexto. Otro factor esencial a tener en cuenta, es la utilidad de </w:t>
                            </w:r>
                            <w:r w:rsidRPr="00C75EB7">
                              <w:rPr>
                                <w:rFonts w:ascii="Arial" w:hAnsi="Arial" w:cs="Arial"/>
                                <w:b/>
                                <w:color w:val="FFFFFF" w:themeColor="background1"/>
                                <w:sz w:val="56"/>
                                <w:szCs w:val="56"/>
                              </w:rPr>
                              <w:t>entender y comunicar los impactos</w:t>
                            </w:r>
                            <w:r w:rsidRPr="00C75EB7">
                              <w:rPr>
                                <w:rFonts w:ascii="Arial" w:hAnsi="Arial" w:cs="Arial"/>
                                <w:color w:val="FFFFFF" w:themeColor="background1"/>
                                <w:sz w:val="56"/>
                                <w:szCs w:val="56"/>
                              </w:rPr>
                              <w:t xml:space="preserve"> introduciendo indicadores de desempeño, realizando un seguimiento del progreso durante el proceso para poder identificar y analizar los mecanismos y modelos que más impacto tienen. Por último, en este sentido, es importante </w:t>
                            </w:r>
                            <w:r w:rsidRPr="00C75EB7">
                              <w:rPr>
                                <w:rFonts w:ascii="Arial" w:hAnsi="Arial" w:cs="Arial"/>
                                <w:b/>
                                <w:color w:val="FFFFFF" w:themeColor="background1"/>
                                <w:sz w:val="56"/>
                                <w:szCs w:val="56"/>
                              </w:rPr>
                              <w:t>compartir los resultados con los interesados e introducir las lecciones aprendidas.</w:t>
                            </w:r>
                          </w:p>
                          <w:p w14:paraId="395820ED"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Marco regulatorio</w:t>
                            </w:r>
                          </w:p>
                          <w:p w14:paraId="04F3FB7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Otro reto a tener en cuenta por las empresas está relacionado con el </w:t>
                            </w:r>
                            <w:r w:rsidRPr="00C75EB7">
                              <w:rPr>
                                <w:rFonts w:ascii="Arial" w:hAnsi="Arial" w:cs="Arial"/>
                                <w:b/>
                                <w:color w:val="FFFFFF" w:themeColor="background1"/>
                                <w:sz w:val="56"/>
                                <w:szCs w:val="56"/>
                              </w:rPr>
                              <w:t>marco regulatorio ineficiente</w:t>
                            </w:r>
                            <w:r w:rsidRPr="00C75EB7">
                              <w:rPr>
                                <w:rFonts w:ascii="Arial" w:hAnsi="Arial" w:cs="Arial"/>
                                <w:color w:val="FFFFFF" w:themeColor="background1"/>
                                <w:sz w:val="56"/>
                                <w:szCs w:val="56"/>
                              </w:rPr>
                              <w:t xml:space="preserve"> en el que se mueven los pobres, que supone inestabilidad jurídica para la actividad de las empresas.</w:t>
                            </w:r>
                          </w:p>
                          <w:p w14:paraId="1F02D62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ADD77E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Una posible estrategia para mejorar los marcos regulatorios ineficientes, consiste en Involucrarse en un diálogo con el gobierno e Invertir tiempo y recursos en mitigar o terminar con las restricciones de mercado. También puede ser útil analizar las reglas informales que las propias comunidades se fijan y hacen cumplir y que pueden contribuir a hacer viables los negocios inclusivos. </w:t>
                            </w:r>
                          </w:p>
                          <w:p w14:paraId="2D4E5A99"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Falta de infraestructura</w:t>
                            </w:r>
                          </w:p>
                          <w:p w14:paraId="31F66C7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Otra barrera importante es la</w:t>
                            </w:r>
                            <w:r w:rsidRPr="00C75EB7">
                              <w:rPr>
                                <w:rFonts w:ascii="Arial" w:hAnsi="Arial" w:cs="Arial"/>
                                <w:b/>
                                <w:color w:val="FFFFFF" w:themeColor="background1"/>
                                <w:sz w:val="56"/>
                                <w:szCs w:val="56"/>
                              </w:rPr>
                              <w:t xml:space="preserve"> falta de infraestructura en las zonas donde típicamente viven las personas desfavorecidas, </w:t>
                            </w:r>
                            <w:r w:rsidRPr="00C75EB7">
                              <w:rPr>
                                <w:rFonts w:ascii="Arial" w:hAnsi="Arial" w:cs="Arial"/>
                                <w:color w:val="FFFFFF" w:themeColor="background1"/>
                                <w:sz w:val="56"/>
                                <w:szCs w:val="56"/>
                              </w:rPr>
                              <w:t>especialmente en países en vías de desarrollo, lo que complica el establecimiento y desarrollo de nuevos negocios. Por ejemplo, el transporte suele ser complicado por la falta de carreteras o de infraestructura y muchas veces falta agua, electricidad o redes de comunicación.</w:t>
                            </w:r>
                          </w:p>
                          <w:p w14:paraId="55ABAC47"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Falta de formación de los pobres</w:t>
                            </w:r>
                          </w:p>
                          <w:p w14:paraId="35FD0F9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
                                <w:color w:val="FFFFFF" w:themeColor="background1"/>
                                <w:sz w:val="56"/>
                                <w:szCs w:val="56"/>
                              </w:rPr>
                              <w:t>Por otro lado, la falta de capacidades y conocimiento de los pobres</w:t>
                            </w:r>
                            <w:r w:rsidRPr="00C75EB7">
                              <w:rPr>
                                <w:rFonts w:ascii="Arial" w:hAnsi="Arial" w:cs="Arial"/>
                                <w:color w:val="FFFFFF" w:themeColor="background1"/>
                                <w:sz w:val="56"/>
                                <w:szCs w:val="56"/>
                              </w:rPr>
                              <w:t xml:space="preserve"> puede entorpecer su inclusión en la cadena de valor de las empresas como consumidores, proveedores o distribuidores. Por ejemplo, los consumidores de la base de la pirámide pueden no conocer los beneficios y la utilidad de un producto determinado o les pueden faltar las capacidades para utilizarlos adecuadamente. Como proveedores o distribuidores los pobres pueden no tener el conocimiento y las capacidades para proporcionar productos o servicios de calidad de forma consistente, puntual y con un precio determinado.</w:t>
                            </w:r>
                          </w:p>
                          <w:p w14:paraId="484BC7A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Para superar este reto, las empresas pueden buscar maneras de crear capacidad donde sea apropiado y promover la creación de asociaciones con organizaciones locales que conozcan la realidad de la comunidad y que cuenten con la confianza de sus miembros. Se trata de combinar los recursos y capacidades de distintos actores que cuentan con conocimiento útil para lograr la innovación y la adaptación de los modelos de la empresa a nuevas realidades, escuchando, aprendiendo y compartiendo experiencias con expertos y con los propios interesados. Por ejemplo Allianz, empresa de seguros alemana, trabaja con ONGs locales para explicar el concepto de microseguros en las comunidades con las que trabaja y para distribuirlo. Las ONGs aportan su red local, la confianza generada entre sus miembros y el conocimiento de las dinámicas y necesidades de los pobres. Por otro lado, Allianz aporta su tecnología y capacidad financiera. Este tipo de alianzas aprovecha y combina las capacidades complementarias de distintos tipos de actores y favorece el conocimiento de los nuevos productos o servicios en la comunidad. Para mejorar las capacidades de los pobres, muchos proyectos de negocios inclusivos incluyen programas de capacitación y formación</w:t>
                            </w:r>
                          </w:p>
                          <w:p w14:paraId="1E365909"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Acceso a productos financieros</w:t>
                            </w:r>
                          </w:p>
                          <w:p w14:paraId="2602772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
                                <w:color w:val="FFFFFF" w:themeColor="background1"/>
                                <w:sz w:val="56"/>
                                <w:szCs w:val="56"/>
                              </w:rPr>
                              <w:t>Finalmente, la falta de acceso a productos y servicios financieros</w:t>
                            </w:r>
                            <w:r w:rsidRPr="00C75EB7">
                              <w:rPr>
                                <w:rFonts w:ascii="Arial" w:hAnsi="Arial" w:cs="Arial"/>
                                <w:color w:val="FFFFFF" w:themeColor="background1"/>
                                <w:sz w:val="56"/>
                                <w:szCs w:val="56"/>
                              </w:rPr>
                              <w:t xml:space="preserve"> a la que se enfrentan los productores y consumidores de la base de la pirámide dificulta la financiación de sus inversiones o grandes compras. Al mismo tiempo, la falta de acceso a productos de seguro hace que no puedan proteger sus pocos activos e ingresos frente a riesgos como la enfermedad, o las inundaciones. En este sentido, las empresas pueden incluir mecanismos para mejorar el acceso a la financiación de las comunidades de la Base de la Pirámide.</w:t>
                            </w:r>
                          </w:p>
                          <w:p w14:paraId="47A2C912"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Tres casos de negocios inclusivos y cómo han resuelto los retos</w:t>
                            </w:r>
                          </w:p>
                          <w:p w14:paraId="4B089B9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 continuación se presentan tres casos de empresas que han incluido a la Base de la Pirámide en su cadena de valor:</w:t>
                            </w:r>
                          </w:p>
                          <w:p w14:paraId="2444F65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4AA902B" w14:textId="77777777" w:rsidR="00D41FC4" w:rsidRPr="00C75EB7" w:rsidRDefault="00D41FC4" w:rsidP="00C75EB7">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como consumidores (Allianz), </w:t>
                            </w:r>
                          </w:p>
                          <w:p w14:paraId="1E697613" w14:textId="77777777" w:rsidR="00D41FC4" w:rsidRPr="00C75EB7" w:rsidRDefault="00D41FC4" w:rsidP="00C75EB7">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como proveedores (Natura) o </w:t>
                            </w:r>
                          </w:p>
                          <w:p w14:paraId="4EE37012" w14:textId="77777777" w:rsidR="00D41FC4" w:rsidRPr="00C75EB7" w:rsidRDefault="00D41FC4" w:rsidP="00C75EB7">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como distribuidores (Coca-Cola). </w:t>
                            </w:r>
                          </w:p>
                          <w:p w14:paraId="064F5316"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C331FB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En cada caso se resumen algunas de las lecciones aprendidas y las medidas tomadas por estas empresas para superar las barreras iniciales.</w:t>
                            </w:r>
                          </w:p>
                          <w:p w14:paraId="4054E6E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42B1EF0"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DISEÑANDO PRODUCTOS DE SEGUROS PARA LA BASE DE LA PIRÁMIDE: ALLIANZ</w:t>
                            </w:r>
                          </w:p>
                          <w:tbl>
                            <w:tblPr>
                              <w:tblStyle w:val="LightList-Accent2"/>
                              <w:tblW w:w="0" w:type="auto"/>
                              <w:tblBorders>
                                <w:top w:val="single" w:sz="4" w:space="0" w:color="800000"/>
                                <w:left w:val="single" w:sz="4" w:space="0" w:color="800000"/>
                                <w:bottom w:val="single" w:sz="4" w:space="0" w:color="800000"/>
                                <w:right w:val="single" w:sz="4" w:space="0" w:color="800000"/>
                                <w:insideH w:val="single" w:sz="4" w:space="0" w:color="auto"/>
                              </w:tblBorders>
                              <w:tblLook w:val="00A0" w:firstRow="1" w:lastRow="0" w:firstColumn="1" w:lastColumn="0" w:noHBand="0" w:noVBand="0"/>
                            </w:tblPr>
                            <w:tblGrid>
                              <w:gridCol w:w="4199"/>
                              <w:gridCol w:w="5929"/>
                            </w:tblGrid>
                            <w:tr w:rsidR="00D41FC4" w:rsidRPr="00C75EB7" w14:paraId="537E922C" w14:textId="77777777" w:rsidTr="00B7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554E89B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sz w:val="56"/>
                                      <w:szCs w:val="56"/>
                                    </w:rPr>
                                  </w:pPr>
                                  <w:r w:rsidRPr="00C75EB7">
                                    <w:rPr>
                                      <w:rFonts w:ascii="Arial" w:eastAsiaTheme="minorHAnsi" w:hAnsi="Arial" w:cs="Arial"/>
                                      <w:bCs w:val="0"/>
                                      <w:sz w:val="56"/>
                                      <w:szCs w:val="56"/>
                                    </w:rPr>
                                    <w:t>Empresa</w:t>
                                  </w:r>
                                </w:p>
                              </w:tc>
                              <w:tc>
                                <w:tcPr>
                                  <w:cnfStyle w:val="000010000000" w:firstRow="0" w:lastRow="0" w:firstColumn="0" w:lastColumn="0" w:oddVBand="1" w:evenVBand="0" w:oddHBand="0" w:evenHBand="0" w:firstRowFirstColumn="0" w:firstRowLastColumn="0" w:lastRowFirstColumn="0" w:lastRowLastColumn="0"/>
                                  <w:tcW w:w="6802" w:type="dxa"/>
                                </w:tcPr>
                                <w:p w14:paraId="4105477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z w:val="56"/>
                                      <w:szCs w:val="56"/>
                                    </w:rPr>
                                  </w:pPr>
                                  <w:r w:rsidRPr="00C75EB7">
                                    <w:rPr>
                                      <w:rFonts w:ascii="Arial" w:hAnsi="Arial" w:cs="Arial"/>
                                      <w:sz w:val="56"/>
                                      <w:szCs w:val="56"/>
                                    </w:rPr>
                                    <w:t>ALLIANZ</w:t>
                                  </w:r>
                                </w:p>
                                <w:p w14:paraId="02932C8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z w:val="56"/>
                                      <w:szCs w:val="56"/>
                                    </w:rPr>
                                  </w:pPr>
                                  <w:r w:rsidRPr="00C75EB7">
                                    <w:rPr>
                                      <w:rFonts w:ascii="Arial" w:hAnsi="Arial" w:cs="Arial"/>
                                      <w:sz w:val="56"/>
                                      <w:szCs w:val="56"/>
                                    </w:rPr>
                                    <w:t xml:space="preserve">Allianz es uno de los grupos aseguradores y proveedores de servicios financieros más importantes del mundo </w:t>
                                  </w:r>
                                  <w:r w:rsidRPr="00C75EB7">
                                    <w:rPr>
                                      <w:rFonts w:ascii="Arial" w:hAnsi="Arial" w:cs="Arial"/>
                                      <w:bCs w:val="0"/>
                                      <w:sz w:val="56"/>
                                      <w:szCs w:val="56"/>
                                    </w:rPr>
                                    <w:t>presente en más de 70 países en los 5 continentes, donde 142.000 empleados de diferente nacionalidad, idioma, religión, formación y experiencia dan servicio a más de 78 millones de clientes</w:t>
                                  </w:r>
                                  <w:r w:rsidRPr="00C75EB7">
                                    <w:rPr>
                                      <w:rFonts w:ascii="Arial" w:hAnsi="Arial" w:cs="Arial"/>
                                      <w:sz w:val="56"/>
                                      <w:szCs w:val="56"/>
                                    </w:rPr>
                                    <w:t>. Sus ingresos ascendieron a más de 103.600 millones de euros a 31 de diciembre de 2011.</w:t>
                                  </w:r>
                                </w:p>
                                <w:p w14:paraId="631FBC1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sz w:val="56"/>
                                      <w:szCs w:val="56"/>
                                    </w:rPr>
                                  </w:pPr>
                                </w:p>
                              </w:tc>
                            </w:tr>
                            <w:tr w:rsidR="00D41FC4" w:rsidRPr="00C75EB7" w14:paraId="5A61E263"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39BA831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bCs w:val="0"/>
                                      <w:color w:val="FFFFFF" w:themeColor="background1"/>
                                      <w:sz w:val="56"/>
                                      <w:szCs w:val="56"/>
                                    </w:rPr>
                                    <w:t>Concepto de negocio inclusivo</w:t>
                                  </w:r>
                                </w:p>
                              </w:tc>
                              <w:tc>
                                <w:tcPr>
                                  <w:cnfStyle w:val="000010000000" w:firstRow="0" w:lastRow="0" w:firstColumn="0" w:lastColumn="0" w:oddVBand="1" w:evenVBand="0" w:oddHBand="0" w:evenHBand="0" w:firstRowFirstColumn="0" w:firstRowLastColumn="0" w:lastRowFirstColumn="0" w:lastRowLastColumn="0"/>
                                  <w:tcW w:w="6802" w:type="dxa"/>
                                </w:tcPr>
                                <w:p w14:paraId="4343F2C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color w:val="FFFFFF" w:themeColor="background1"/>
                                      <w:sz w:val="56"/>
                                      <w:szCs w:val="56"/>
                                    </w:rPr>
                                    <w:t>Productos de seguro de vida y de no vida accesibles, destinados específicamente a poblaciones con bajos ingresos y adaptados a sus necesidades (microseguros)</w:t>
                                  </w:r>
                                </w:p>
                                <w:p w14:paraId="20C5ABF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tc>
                            </w:tr>
                            <w:tr w:rsidR="00D41FC4" w:rsidRPr="00C75EB7" w14:paraId="33DFAC1A" w14:textId="77777777" w:rsidTr="00B70620">
                              <w:tc>
                                <w:tcPr>
                                  <w:cnfStyle w:val="001000000000" w:firstRow="0" w:lastRow="0" w:firstColumn="1" w:lastColumn="0" w:oddVBand="0" w:evenVBand="0" w:oddHBand="0" w:evenHBand="0" w:firstRowFirstColumn="0" w:firstRowLastColumn="0" w:lastRowFirstColumn="0" w:lastRowLastColumn="0"/>
                                  <w:tcW w:w="1714" w:type="dxa"/>
                                </w:tcPr>
                                <w:p w14:paraId="7836E5C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color w:val="FFFFFF" w:themeColor="background1"/>
                                      <w:sz w:val="56"/>
                                      <w:szCs w:val="56"/>
                                    </w:rPr>
                                  </w:pPr>
                                  <w:r w:rsidRPr="00C75EB7">
                                    <w:rPr>
                                      <w:rFonts w:ascii="Arial" w:eastAsiaTheme="minorHAnsi" w:hAnsi="Arial" w:cs="Arial"/>
                                      <w:bCs w:val="0"/>
                                      <w:color w:val="FFFFFF" w:themeColor="background1"/>
                                      <w:sz w:val="56"/>
                                      <w:szCs w:val="56"/>
                                    </w:rPr>
                                    <w:t>Oportunidades</w:t>
                                  </w:r>
                                </w:p>
                                <w:p w14:paraId="6D18E54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tc>
                              <w:tc>
                                <w:tcPr>
                                  <w:cnfStyle w:val="000010000000" w:firstRow="0" w:lastRow="0" w:firstColumn="0" w:lastColumn="0" w:oddVBand="1" w:evenVBand="0" w:oddHBand="0" w:evenHBand="0" w:firstRowFirstColumn="0" w:firstRowLastColumn="0" w:lastRowFirstColumn="0" w:lastRowLastColumn="0"/>
                                  <w:tcW w:w="6802" w:type="dxa"/>
                                </w:tcPr>
                                <w:p w14:paraId="6F205EE8" w14:textId="77777777" w:rsidR="00D41FC4" w:rsidRPr="00C75EB7" w:rsidRDefault="00D41FC4" w:rsidP="00C75EB7">
                                  <w:pPr>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eastAsiaTheme="minorHAnsi" w:hAnsi="Arial" w:cs="Arial"/>
                                      <w:b/>
                                      <w:color w:val="FFFFFF" w:themeColor="background1"/>
                                      <w:sz w:val="56"/>
                                      <w:szCs w:val="56"/>
                                    </w:rPr>
                                    <w:t>Para Allianz:</w:t>
                                  </w:r>
                                  <w:r w:rsidRPr="00C75EB7">
                                    <w:rPr>
                                      <w:rFonts w:ascii="Arial" w:eastAsiaTheme="minorHAnsi" w:hAnsi="Arial" w:cs="Arial"/>
                                      <w:color w:val="FFFFFF" w:themeColor="background1"/>
                                      <w:sz w:val="56"/>
                                      <w:szCs w:val="56"/>
                                    </w:rPr>
                                    <w:t xml:space="preserve"> </w:t>
                                  </w:r>
                                  <w:r w:rsidRPr="00C75EB7">
                                    <w:rPr>
                                      <w:rFonts w:ascii="Arial" w:hAnsi="Arial" w:cs="Arial"/>
                                      <w:color w:val="FFFFFF" w:themeColor="background1"/>
                                      <w:sz w:val="56"/>
                                      <w:szCs w:val="56"/>
                                      <w:lang w:val="en-US"/>
                                    </w:rPr>
                                    <w:t xml:space="preserve"> Una base de consumidores compuesta por más de la mitad de la población mundial ofrece un mercado potencial muy importante para la industria de los seguros. Allianz, uno de los proveedores de seguros más importantes, aportará su experiencia a nivel mundial para determinar la viabilidad de los seguros y el costo de los mismos.</w:t>
                                  </w:r>
                                </w:p>
                                <w:p w14:paraId="47E5D8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p w14:paraId="57A4085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b/>
                                      <w:color w:val="FFFFFF" w:themeColor="background1"/>
                                      <w:sz w:val="56"/>
                                      <w:szCs w:val="56"/>
                                    </w:rPr>
                                    <w:t>Para la Base de la Pirámide</w:t>
                                  </w:r>
                                  <w:r w:rsidRPr="00C75EB7">
                                    <w:rPr>
                                      <w:rFonts w:ascii="Arial" w:eastAsiaTheme="minorHAnsi" w:hAnsi="Arial" w:cs="Arial"/>
                                      <w:color w:val="FFFFFF" w:themeColor="background1"/>
                                      <w:sz w:val="56"/>
                                      <w:szCs w:val="56"/>
                                    </w:rPr>
                                    <w:t xml:space="preserve">: Sin seguro, los pobres arriesgan perder todo lo que tienen. El acceso a micro-seguros les proporciona cobertura para eventualidades y riesgos de distintos tipos, </w:t>
                                  </w:r>
                                  <w:r w:rsidRPr="00C75EB7">
                                    <w:rPr>
                                      <w:rFonts w:ascii="Arial" w:hAnsi="Arial" w:cs="Arial"/>
                                      <w:color w:val="FFFFFF" w:themeColor="background1"/>
                                      <w:sz w:val="56"/>
                                      <w:szCs w:val="56"/>
                                    </w:rPr>
                                    <w:t>reducen sus debilidades para establecer empresas locales y fortalecen su sustento económico.</w:t>
                                  </w:r>
                                </w:p>
                                <w:p w14:paraId="4AE126C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También se espera que el acceso a los micro-seguros fomente las inversiones del sector privado, incluyendo la infraestructura, incremente la tolerancia de las comunidades, desde sus estructuras básicas, y promueva el desarrollo humano sostenible.</w:t>
                                  </w:r>
                                </w:p>
                                <w:p w14:paraId="3A99A87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tc>
                            </w:tr>
                            <w:tr w:rsidR="00D41FC4" w:rsidRPr="00C75EB7" w14:paraId="43CD7505"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26DA2C0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color w:val="FFFFFF" w:themeColor="background1"/>
                                      <w:sz w:val="56"/>
                                      <w:szCs w:val="56"/>
                                    </w:rPr>
                                  </w:pPr>
                                  <w:r w:rsidRPr="00C75EB7">
                                    <w:rPr>
                                      <w:rFonts w:ascii="Arial" w:eastAsiaTheme="minorHAnsi" w:hAnsi="Arial" w:cs="Arial"/>
                                      <w:bCs w:val="0"/>
                                      <w:color w:val="FFFFFF" w:themeColor="background1"/>
                                      <w:sz w:val="56"/>
                                      <w:szCs w:val="56"/>
                                    </w:rPr>
                                    <w:t>¿Cómo lo ha hecho?</w:t>
                                  </w:r>
                                </w:p>
                                <w:p w14:paraId="1AD6CB9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color w:val="FFFFFF" w:themeColor="background1"/>
                                      <w:sz w:val="56"/>
                                      <w:szCs w:val="56"/>
                                    </w:rPr>
                                    <w:tab/>
                                  </w:r>
                                </w:p>
                              </w:tc>
                              <w:tc>
                                <w:tcPr>
                                  <w:cnfStyle w:val="000010000000" w:firstRow="0" w:lastRow="0" w:firstColumn="0" w:lastColumn="0" w:oddVBand="1" w:evenVBand="0" w:oddHBand="0" w:evenHBand="0" w:firstRowFirstColumn="0" w:firstRowLastColumn="0" w:lastRowFirstColumn="0" w:lastRowLastColumn="0"/>
                                  <w:tcW w:w="6802" w:type="dxa"/>
                                </w:tcPr>
                                <w:p w14:paraId="3D4C9C7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color w:val="FFFFFF" w:themeColor="background1"/>
                                      <w:sz w:val="56"/>
                                      <w:szCs w:val="56"/>
                                    </w:rPr>
                                    <w:t>Allianz trabaja con ONGs locales para reducir los elevados costes de administración y la falta de conciencia  y conocimiento sobre  la utilidad y el funcionamiento de los seguros en las comunidades pobres del sur de la India, Indonesia, Egipto y dentro de poco, África del Oeste.</w:t>
                                  </w:r>
                                </w:p>
                                <w:p w14:paraId="3F1C82A9" w14:textId="77777777" w:rsidR="00D41FC4" w:rsidRPr="00C75EB7" w:rsidRDefault="00D41FC4" w:rsidP="00C75EB7">
                                  <w:pPr>
                                    <w:widowControl w:val="0"/>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hAnsi="Arial" w:cs="Arial"/>
                                      <w:color w:val="FFFFFF" w:themeColor="background1"/>
                                      <w:sz w:val="56"/>
                                      <w:szCs w:val="56"/>
                                      <w:lang w:val="en-US"/>
                                    </w:rPr>
                                    <w:t>Posteriormente, Allianz se asoció con el Programa de las Naciones Unidas para el Desarrollo (PNUD) y con GTZ, agencia internacional de cooperación alemana, para llevar a cabo estudios de mercado que analicen la demanda de microseguros en la India, Indonesia y la República Popular de Laos.</w:t>
                                  </w:r>
                                  <w:r w:rsidRPr="00C75EB7">
                                    <w:rPr>
                                      <w:rFonts w:ascii="Arial" w:eastAsiaTheme="minorHAnsi" w:hAnsi="Arial" w:cs="Arial"/>
                                      <w:color w:val="FFFFFF" w:themeColor="background1"/>
                                      <w:sz w:val="56"/>
                                      <w:szCs w:val="56"/>
                                    </w:rPr>
                                    <w:t xml:space="preserve"> </w:t>
                                  </w:r>
                                </w:p>
                              </w:tc>
                            </w:tr>
                            <w:tr w:rsidR="00D41FC4" w:rsidRPr="00C75EB7" w14:paraId="79E9732D" w14:textId="77777777" w:rsidTr="00B70620">
                              <w:tc>
                                <w:tcPr>
                                  <w:cnfStyle w:val="001000000000" w:firstRow="0" w:lastRow="0" w:firstColumn="1" w:lastColumn="0" w:oddVBand="0" w:evenVBand="0" w:oddHBand="0" w:evenHBand="0" w:firstRowFirstColumn="0" w:firstRowLastColumn="0" w:lastRowFirstColumn="0" w:lastRowLastColumn="0"/>
                                  <w:tcW w:w="1714" w:type="dxa"/>
                                </w:tcPr>
                                <w:p w14:paraId="3C0F22A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bCs w:val="0"/>
                                      <w:color w:val="FFFFFF" w:themeColor="background1"/>
                                      <w:sz w:val="56"/>
                                      <w:szCs w:val="56"/>
                                    </w:rPr>
                                    <w:t>Resultados</w:t>
                                  </w:r>
                                </w:p>
                              </w:tc>
                              <w:tc>
                                <w:tcPr>
                                  <w:cnfStyle w:val="000010000000" w:firstRow="0" w:lastRow="0" w:firstColumn="0" w:lastColumn="0" w:oddVBand="1" w:evenVBand="0" w:oddHBand="0" w:evenHBand="0" w:firstRowFirstColumn="0" w:firstRowLastColumn="0" w:lastRowFirstColumn="0" w:lastRowLastColumn="0"/>
                                  <w:tcW w:w="6802" w:type="dxa"/>
                                </w:tcPr>
                                <w:p w14:paraId="2BB202DE" w14:textId="77777777" w:rsidR="00D41FC4" w:rsidRPr="00C75EB7" w:rsidRDefault="00D41FC4" w:rsidP="00C75EB7">
                                  <w:pPr>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eastAsiaTheme="minorHAnsi" w:hAnsi="Arial" w:cs="Arial"/>
                                      <w:color w:val="FFFFFF" w:themeColor="background1"/>
                                      <w:sz w:val="56"/>
                                      <w:szCs w:val="56"/>
                                    </w:rPr>
                                    <w:t xml:space="preserve">Más de 1,8 millones de personas en la India, Indonesia y Egipto están ahora protegidos por las políticas de micro-seguros de Allianz. </w:t>
                                  </w:r>
                                  <w:r w:rsidRPr="00C75EB7">
                                    <w:rPr>
                                      <w:rFonts w:ascii="Arial" w:hAnsi="Arial" w:cs="Arial"/>
                                      <w:color w:val="FFFFFF" w:themeColor="background1"/>
                                      <w:sz w:val="56"/>
                                      <w:szCs w:val="56"/>
                                      <w:lang w:val="en-US"/>
                                    </w:rPr>
                                    <w:t xml:space="preserve"> Se espera que los microseguros beneficien a los grupos de menores recursos, reduzcan sus debilidades, establezcan empresas locales y fortalezcan su sustento económico.</w:t>
                                  </w:r>
                                </w:p>
                                <w:p w14:paraId="6724C514" w14:textId="77777777" w:rsidR="00D41FC4" w:rsidRPr="00C75EB7" w:rsidRDefault="00D41FC4" w:rsidP="00C75EB7">
                                  <w:pPr>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También se espera que el acceso a los microseguros fomente las inversiones del sector privado, incluyendo la infraestructura, incremente la tolerancia de las comunidades, desde sus estructuras básicas, </w:t>
                                  </w:r>
                                  <w:proofErr w:type="gramStart"/>
                                  <w:r w:rsidRPr="00C75EB7">
                                    <w:rPr>
                                      <w:rFonts w:ascii="Arial" w:hAnsi="Arial" w:cs="Arial"/>
                                      <w:color w:val="FFFFFF" w:themeColor="background1"/>
                                      <w:sz w:val="56"/>
                                      <w:szCs w:val="56"/>
                                      <w:lang w:val="en-US"/>
                                    </w:rPr>
                                    <w:t>y</w:t>
                                  </w:r>
                                  <w:proofErr w:type="gramEnd"/>
                                  <w:r w:rsidRPr="00C75EB7">
                                    <w:rPr>
                                      <w:rFonts w:ascii="Arial" w:hAnsi="Arial" w:cs="Arial"/>
                                      <w:color w:val="FFFFFF" w:themeColor="background1"/>
                                      <w:sz w:val="56"/>
                                      <w:szCs w:val="56"/>
                                      <w:lang w:val="en-US"/>
                                    </w:rPr>
                                    <w:t xml:space="preserve"> promueva el desarrollo humano sustentable.</w:t>
                                  </w:r>
                                </w:p>
                                <w:p w14:paraId="08A9869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hAnsi="Arial" w:cs="Arial"/>
                                      <w:color w:val="FFFFFF" w:themeColor="background1"/>
                                      <w:sz w:val="56"/>
                                      <w:szCs w:val="56"/>
                                      <w:lang w:val="en-US"/>
                                    </w:rPr>
                                    <w:t>Los estudios realizados por el grupo indicaron claramente que el acceso a los microseguros ayuda a los sectores más necesitados, al igual que contribuye de manera significativa a alcanzar los Objetivos de Desarrollo del Milenio, en particular la erradicación de la pobreza extrema, la promoción de la igualdad de género y la creación de una asociación mundial para el</w:t>
                                  </w:r>
                                </w:p>
                                <w:p w14:paraId="6A9CAE5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p w14:paraId="17D8F98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tc>
                            </w:tr>
                            <w:tr w:rsidR="00D41FC4" w:rsidRPr="00C75EB7" w14:paraId="382C6D26"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BF47BF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color w:val="FFFFFF" w:themeColor="background1"/>
                                      <w:sz w:val="56"/>
                                      <w:szCs w:val="56"/>
                                    </w:rPr>
                                  </w:pPr>
                                  <w:r w:rsidRPr="00C75EB7">
                                    <w:rPr>
                                      <w:rFonts w:ascii="Arial" w:eastAsiaTheme="minorHAnsi" w:hAnsi="Arial" w:cs="Arial"/>
                                      <w:bCs w:val="0"/>
                                      <w:color w:val="FFFFFF" w:themeColor="background1"/>
                                      <w:sz w:val="56"/>
                                      <w:szCs w:val="56"/>
                                    </w:rPr>
                                    <w:t>Estrategias para superar  los principales retos</w:t>
                                  </w:r>
                                </w:p>
                              </w:tc>
                              <w:tc>
                                <w:tcPr>
                                  <w:cnfStyle w:val="000010000000" w:firstRow="0" w:lastRow="0" w:firstColumn="0" w:lastColumn="0" w:oddVBand="1" w:evenVBand="0" w:oddHBand="0" w:evenHBand="0" w:firstRowFirstColumn="0" w:firstRowLastColumn="0" w:lastRowFirstColumn="0" w:lastRowLastColumn="0"/>
                                  <w:tcW w:w="6802" w:type="dxa"/>
                                </w:tcPr>
                                <w:p w14:paraId="3D44548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r w:rsidRPr="00C75EB7">
                                    <w:rPr>
                                      <w:rFonts w:ascii="Arial" w:hAnsi="Arial" w:cs="Arial"/>
                                      <w:b/>
                                      <w:color w:val="FFFFFF" w:themeColor="background1"/>
                                      <w:sz w:val="56"/>
                                      <w:szCs w:val="56"/>
                                    </w:rPr>
                                    <w:t>Las principales estrategias aplicadas por Allianz y las lecciones aprendidas del proceso de desarrollo e implemenación de este negocio inclusivo enfatizan la importancia de:</w:t>
                                  </w:r>
                                </w:p>
                                <w:p w14:paraId="016B6F73"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ind w:left="360"/>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Entender, a través de la investigación, cómo la gente usa los productos y servicios y cuáles son las necesidades de los indivuduos y sus familias en cada comunidad </w:t>
                                  </w:r>
                                </w:p>
                                <w:p w14:paraId="119F4F4B"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ind w:left="360"/>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Adaptar los productos de seguro a las necesidades y al nivel de ingresos de los mercados de bajos ingresos </w:t>
                                  </w:r>
                                </w:p>
                                <w:p w14:paraId="27B1B2C9"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Estar atento a las dinámicas culturales, incluyendo los símbolos de estatus y los roles de género </w:t>
                                  </w:r>
                                </w:p>
                                <w:p w14:paraId="67249362"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Arial" w:hAnsi="Arial" w:cs="Arial"/>
                                      <w:b/>
                                      <w:color w:val="FFFFFF" w:themeColor="background1"/>
                                      <w:sz w:val="56"/>
                                      <w:szCs w:val="56"/>
                                    </w:rPr>
                                  </w:pPr>
                                  <w:r w:rsidRPr="00C75EB7">
                                    <w:rPr>
                                      <w:rFonts w:ascii="Arial" w:hAnsi="Arial" w:cs="Arial"/>
                                      <w:color w:val="FFFFFF" w:themeColor="background1"/>
                                      <w:sz w:val="56"/>
                                      <w:szCs w:val="56"/>
                                    </w:rPr>
                                    <w:t>Involucrar a los grupos de interés incluyendo ONGs y las comunidades en el diseño de los productos</w:t>
                                  </w:r>
                                  <w:r w:rsidRPr="00C75EB7">
                                    <w:rPr>
                                      <w:rFonts w:ascii="Arial" w:hAnsi="Arial" w:cs="Arial"/>
                                      <w:b/>
                                      <w:color w:val="FFFFFF" w:themeColor="background1"/>
                                      <w:sz w:val="56"/>
                                      <w:szCs w:val="56"/>
                                    </w:rPr>
                                    <w:t xml:space="preserve"> y en su comercialización y distribución</w:t>
                                  </w:r>
                                </w:p>
                                <w:p w14:paraId="01370E4E"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Allianz involucró al PNUD (Programa de las Naciones Unidas para el Deasrollo) y a GTZ (ayuda bilateral alemana) para llevar a cabo estudios de mercado y analizar la demanda de microseguros en algunos países</w:t>
                                  </w:r>
                                </w:p>
                              </w:tc>
                            </w:tr>
                          </w:tbl>
                          <w:p w14:paraId="1B64281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6C62E520" w14:textId="77777777" w:rsidR="00D41FC4" w:rsidRPr="00C75EB7" w:rsidRDefault="00D41FC4" w:rsidP="00C75EB7">
                            <w:pPr>
                              <w:pStyle w:val="Heading2"/>
                              <w:spacing w:line="360" w:lineRule="auto"/>
                              <w:ind w:left="720"/>
                              <w:jc w:val="both"/>
                              <w:rPr>
                                <w:rFonts w:cs="Arial"/>
                                <w:color w:val="FFFFFF" w:themeColor="background1"/>
                                <w:sz w:val="56"/>
                                <w:szCs w:val="56"/>
                              </w:rPr>
                            </w:pPr>
                          </w:p>
                          <w:p w14:paraId="28FCF69C" w14:textId="77777777" w:rsidR="00D41FC4" w:rsidRPr="00C75EB7" w:rsidRDefault="00D41FC4" w:rsidP="00C75EB7">
                            <w:pPr>
                              <w:rPr>
                                <w:color w:val="FFFFFF" w:themeColor="background1"/>
                                <w:sz w:val="56"/>
                                <w:szCs w:val="56"/>
                              </w:rPr>
                            </w:pPr>
                          </w:p>
                          <w:p w14:paraId="0B8D8D6D" w14:textId="77777777" w:rsidR="00D41FC4" w:rsidRPr="00C75EB7" w:rsidRDefault="00D41FC4" w:rsidP="00C75EB7">
                            <w:pPr>
                              <w:rPr>
                                <w:color w:val="FFFFFF" w:themeColor="background1"/>
                                <w:sz w:val="56"/>
                                <w:szCs w:val="56"/>
                              </w:rPr>
                            </w:pPr>
                          </w:p>
                          <w:p w14:paraId="50773E67" w14:textId="77777777" w:rsidR="00D41FC4" w:rsidRPr="00C75EB7" w:rsidRDefault="00D41FC4" w:rsidP="00C75EB7">
                            <w:pPr>
                              <w:rPr>
                                <w:color w:val="FFFFFF" w:themeColor="background1"/>
                                <w:sz w:val="56"/>
                                <w:szCs w:val="56"/>
                              </w:rPr>
                            </w:pPr>
                          </w:p>
                          <w:p w14:paraId="09A1CAEA" w14:textId="77777777" w:rsidR="00D41FC4" w:rsidRPr="00C75EB7" w:rsidRDefault="00D41FC4" w:rsidP="00C75EB7">
                            <w:pPr>
                              <w:rPr>
                                <w:color w:val="FFFFFF" w:themeColor="background1"/>
                                <w:sz w:val="56"/>
                                <w:szCs w:val="56"/>
                              </w:rPr>
                            </w:pPr>
                          </w:p>
                          <w:p w14:paraId="1EF23027" w14:textId="77777777" w:rsidR="00D41FC4" w:rsidRPr="00C75EB7" w:rsidRDefault="00D41FC4" w:rsidP="00C75EB7">
                            <w:pPr>
                              <w:rPr>
                                <w:color w:val="FFFFFF" w:themeColor="background1"/>
                                <w:sz w:val="56"/>
                                <w:szCs w:val="56"/>
                              </w:rPr>
                            </w:pPr>
                          </w:p>
                          <w:p w14:paraId="4C2E0409" w14:textId="77777777" w:rsidR="00D41FC4" w:rsidRPr="00C75EB7" w:rsidRDefault="00D41FC4" w:rsidP="00C75EB7">
                            <w:pPr>
                              <w:rPr>
                                <w:color w:val="FFFFFF" w:themeColor="background1"/>
                                <w:sz w:val="56"/>
                                <w:szCs w:val="56"/>
                              </w:rPr>
                            </w:pPr>
                          </w:p>
                          <w:p w14:paraId="1C5DAC22" w14:textId="77777777" w:rsidR="00D41FC4" w:rsidRPr="00C75EB7" w:rsidRDefault="00D41FC4" w:rsidP="00C75EB7">
                            <w:pPr>
                              <w:pStyle w:val="Heading2"/>
                              <w:spacing w:line="360" w:lineRule="auto"/>
                              <w:ind w:left="720"/>
                              <w:jc w:val="both"/>
                              <w:rPr>
                                <w:rFonts w:cs="Arial"/>
                                <w:color w:val="FFFFFF" w:themeColor="background1"/>
                                <w:sz w:val="56"/>
                                <w:szCs w:val="56"/>
                              </w:rPr>
                            </w:pPr>
                          </w:p>
                          <w:p w14:paraId="50A1462E"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INCLUYENDO A  COMUNIDADES TRADICIONALES DEL AMAZONAS COMO PROVEEDORES DE MATERIAS PRIMAS: NATURA</w:t>
                            </w:r>
                          </w:p>
                          <w:p w14:paraId="560E2488"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tbl>
                            <w:tblPr>
                              <w:tblStyle w:val="LightList-Accent2"/>
                              <w:tblW w:w="8789" w:type="dxa"/>
                              <w:tblLook w:val="04A0" w:firstRow="1" w:lastRow="0" w:firstColumn="1" w:lastColumn="0" w:noHBand="0" w:noVBand="1"/>
                            </w:tblPr>
                            <w:tblGrid>
                              <w:gridCol w:w="4199"/>
                              <w:gridCol w:w="4590"/>
                            </w:tblGrid>
                            <w:tr w:rsidR="00D41FC4" w:rsidRPr="00C75EB7" w14:paraId="60BF2411" w14:textId="77777777" w:rsidTr="00B7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779C5CB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val="0"/>
                                      <w:sz w:val="56"/>
                                      <w:szCs w:val="56"/>
                                    </w:rPr>
                                  </w:pPr>
                                  <w:r w:rsidRPr="00C75EB7">
                                    <w:rPr>
                                      <w:rFonts w:ascii="Arial" w:hAnsi="Arial" w:cs="Arial"/>
                                      <w:bCs w:val="0"/>
                                      <w:sz w:val="56"/>
                                      <w:szCs w:val="56"/>
                                    </w:rPr>
                                    <w:t>Empresa</w:t>
                                  </w:r>
                                </w:p>
                              </w:tc>
                              <w:tc>
                                <w:tcPr>
                                  <w:tcW w:w="6322" w:type="dxa"/>
                                </w:tcPr>
                                <w:p w14:paraId="449E5E48" w14:textId="77777777" w:rsidR="00D41FC4" w:rsidRPr="00C75EB7" w:rsidRDefault="00D41FC4" w:rsidP="00C75EB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56"/>
                                      <w:szCs w:val="56"/>
                                    </w:rPr>
                                  </w:pPr>
                                  <w:r w:rsidRPr="00C75EB7">
                                    <w:rPr>
                                      <w:rFonts w:ascii="Arial" w:hAnsi="Arial" w:cs="Arial"/>
                                      <w:b w:val="0"/>
                                      <w:sz w:val="56"/>
                                      <w:szCs w:val="56"/>
                                    </w:rPr>
                                    <w:t>NATURA</w:t>
                                  </w:r>
                                </w:p>
                                <w:p w14:paraId="0A93BCD0" w14:textId="77777777" w:rsidR="00D41FC4" w:rsidRPr="00C75EB7" w:rsidRDefault="00D41FC4" w:rsidP="00C75EB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56"/>
                                      <w:szCs w:val="56"/>
                                    </w:rPr>
                                  </w:pPr>
                                  <w:r w:rsidRPr="00C75EB7">
                                    <w:rPr>
                                      <w:rFonts w:ascii="Arial" w:hAnsi="Arial" w:cs="Arial"/>
                                      <w:b w:val="0"/>
                                      <w:sz w:val="56"/>
                                      <w:szCs w:val="56"/>
                                    </w:rPr>
                                    <w:t xml:space="preserve">Natura es una marca  de cosméticos de origen brasileño presente en siete países de América Latina y en Francia y España. </w:t>
                                  </w:r>
                                </w:p>
                              </w:tc>
                            </w:tr>
                            <w:tr w:rsidR="00D41FC4" w:rsidRPr="00C75EB7" w14:paraId="74893A8B"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1FD79C5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Cs w:val="0"/>
                                      <w:color w:val="FFFFFF" w:themeColor="background1"/>
                                      <w:sz w:val="56"/>
                                      <w:szCs w:val="56"/>
                                    </w:rPr>
                                    <w:t>Concepto de negocio inclusivo</w:t>
                                  </w:r>
                                </w:p>
                              </w:tc>
                              <w:tc>
                                <w:tcPr>
                                  <w:tcW w:w="6322" w:type="dxa"/>
                                </w:tcPr>
                                <w:p w14:paraId="2D9541E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En el año 2000, Natura lanzó la línea de productos (EKOS), que utiliza la biodiversidad brasileña trabajando con comunidades locales como negocio y como plataforma de innovación.</w:t>
                                  </w:r>
                                </w:p>
                                <w:p w14:paraId="520DBFF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p>
                              </w:tc>
                            </w:tr>
                            <w:tr w:rsidR="00D41FC4" w:rsidRPr="00C75EB7" w14:paraId="7DCFF1BC" w14:textId="77777777" w:rsidTr="00B70620">
                              <w:tc>
                                <w:tcPr>
                                  <w:cnfStyle w:val="001000000000" w:firstRow="0" w:lastRow="0" w:firstColumn="1" w:lastColumn="0" w:oddVBand="0" w:evenVBand="0" w:oddHBand="0" w:evenHBand="0" w:firstRowFirstColumn="0" w:firstRowLastColumn="0" w:lastRowFirstColumn="0" w:lastRowLastColumn="0"/>
                                  <w:tcW w:w="2467" w:type="dxa"/>
                                </w:tcPr>
                                <w:p w14:paraId="4F97D6F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val="0"/>
                                      <w:color w:val="FFFFFF" w:themeColor="background1"/>
                                      <w:sz w:val="56"/>
                                      <w:szCs w:val="56"/>
                                    </w:rPr>
                                  </w:pPr>
                                  <w:r w:rsidRPr="00C75EB7">
                                    <w:rPr>
                                      <w:rFonts w:ascii="Arial" w:hAnsi="Arial" w:cs="Arial"/>
                                      <w:bCs w:val="0"/>
                                      <w:color w:val="FFFFFF" w:themeColor="background1"/>
                                      <w:sz w:val="56"/>
                                      <w:szCs w:val="56"/>
                                    </w:rPr>
                                    <w:t>Oportunidades</w:t>
                                  </w:r>
                                </w:p>
                                <w:p w14:paraId="0F1E8DF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b/>
                                  </w:r>
                                </w:p>
                              </w:tc>
                              <w:tc>
                                <w:tcPr>
                                  <w:tcW w:w="6322" w:type="dxa"/>
                                </w:tcPr>
                                <w:p w14:paraId="2237D94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b/>
                                      <w:color w:val="FFFFFF" w:themeColor="background1"/>
                                      <w:sz w:val="56"/>
                                      <w:szCs w:val="56"/>
                                    </w:rPr>
                                    <w:t>Para Natura:</w:t>
                                  </w:r>
                                  <w:r w:rsidRPr="00C75EB7">
                                    <w:rPr>
                                      <w:rFonts w:ascii="Arial" w:hAnsi="Arial" w:cs="Arial"/>
                                      <w:color w:val="FFFFFF" w:themeColor="background1"/>
                                      <w:sz w:val="56"/>
                                      <w:szCs w:val="56"/>
                                    </w:rPr>
                                    <w:t xml:space="preserve"> Interés por parte de la empresa por realzar el valor de su marca y por hacer crecer sus ventas mientras que cumple con sus compromisos de responsabilidad con el medio ambiente y justicia social, incluyendo apoyo a las comunidades de bajos ingresos de la región Amazónica.</w:t>
                                  </w:r>
                                </w:p>
                                <w:p w14:paraId="5396346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56"/>
                                      <w:szCs w:val="56"/>
                                    </w:rPr>
                                  </w:pPr>
                                </w:p>
                                <w:p w14:paraId="4465508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b/>
                                      <w:color w:val="FFFFFF" w:themeColor="background1"/>
                                      <w:sz w:val="56"/>
                                      <w:szCs w:val="56"/>
                                    </w:rPr>
                                    <w:t>Para la comunidad:</w:t>
                                  </w:r>
                                  <w:r w:rsidRPr="00C75EB7">
                                    <w:rPr>
                                      <w:rFonts w:ascii="Arial" w:hAnsi="Arial" w:cs="Arial"/>
                                      <w:color w:val="FFFFFF" w:themeColor="background1"/>
                                      <w:sz w:val="56"/>
                                      <w:szCs w:val="56"/>
                                    </w:rPr>
                                    <w:t xml:space="preserve"> Creando trabajo en las comunidades y estableciendo puentes entre las diversas áreas de Natura y los grupos de agricultores familiares organizados en asociaciones y cooperativas.</w:t>
                                  </w:r>
                                </w:p>
                              </w:tc>
                            </w:tr>
                            <w:tr w:rsidR="00D41FC4" w:rsidRPr="00C75EB7" w14:paraId="1CF19C71"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2D79A2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Cs w:val="0"/>
                                      <w:color w:val="FFFFFF" w:themeColor="background1"/>
                                      <w:sz w:val="56"/>
                                      <w:szCs w:val="56"/>
                                    </w:rPr>
                                    <w:t>¿Cómo lo ha hecho?</w:t>
                                  </w:r>
                                </w:p>
                              </w:tc>
                              <w:tc>
                                <w:tcPr>
                                  <w:tcW w:w="6322" w:type="dxa"/>
                                </w:tcPr>
                                <w:p w14:paraId="2E503D6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 xml:space="preserve">Alcanzar a las comunidades que suministran materia prima y asegurarando que estos materiales se extraen o plantan de manera sostenible durante toda la cadena de producción requiere conocimientos específicos y partnerships. </w:t>
                                  </w:r>
                                </w:p>
                                <w:p w14:paraId="57500E6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Natura cuenta con un equipo de antropólogos, científicos sociales, sicólogos, economistas, biólogos y administradores en Natura que se ocupan de las relaciones con los 26 grupos de pequeños productores rurales que se encuentran a lo largo y a lo ancho de Brasil y del exterior, que cosechan activos naturales tales como el buriti, la castaña, el açaí entre muchos otros que serán usados en los productos de la marca.</w:t>
                                  </w:r>
                                </w:p>
                                <w:p w14:paraId="35446C0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Para evaluar los vínculos con las comunidadades Natura diseñó un  Sistema de Calidad de Relaciones.</w:t>
                                  </w:r>
                                </w:p>
                              </w:tc>
                            </w:tr>
                            <w:tr w:rsidR="00D41FC4" w:rsidRPr="00C75EB7" w14:paraId="351FD1F9" w14:textId="77777777" w:rsidTr="00B70620">
                              <w:tc>
                                <w:tcPr>
                                  <w:cnfStyle w:val="001000000000" w:firstRow="0" w:lastRow="0" w:firstColumn="1" w:lastColumn="0" w:oddVBand="0" w:evenVBand="0" w:oddHBand="0" w:evenHBand="0" w:firstRowFirstColumn="0" w:firstRowLastColumn="0" w:lastRowFirstColumn="0" w:lastRowLastColumn="0"/>
                                  <w:tcW w:w="2467" w:type="dxa"/>
                                </w:tcPr>
                                <w:p w14:paraId="7C0B689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Cs w:val="0"/>
                                      <w:color w:val="FFFFFF" w:themeColor="background1"/>
                                      <w:sz w:val="56"/>
                                      <w:szCs w:val="56"/>
                                    </w:rPr>
                                    <w:t>Resultados</w:t>
                                  </w:r>
                                </w:p>
                              </w:tc>
                              <w:tc>
                                <w:tcPr>
                                  <w:tcW w:w="6322" w:type="dxa"/>
                                </w:tcPr>
                                <w:p w14:paraId="5CB8B5B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 xml:space="preserve">Actualmente, EKOS cuenta como el 10% de las ventas de Natura y le agrega valor a la marca. Natura tiene 56 acuerdos de suministros de activos naturales con empresas, granjas y comunidades en Brasil y América Latina. De estos, 19 son con comunidades tradicionales y proveedores locales de materia prima. </w:t>
                                  </w:r>
                                </w:p>
                              </w:tc>
                            </w:tr>
                            <w:tr w:rsidR="00D41FC4" w:rsidRPr="00C75EB7" w14:paraId="7987B16F"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20C7028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color w:val="FFFFFF" w:themeColor="background1"/>
                                      <w:sz w:val="56"/>
                                      <w:szCs w:val="56"/>
                                    </w:rPr>
                                  </w:pPr>
                                  <w:r w:rsidRPr="00C75EB7">
                                    <w:rPr>
                                      <w:rFonts w:ascii="Arial" w:eastAsiaTheme="minorHAnsi" w:hAnsi="Arial" w:cs="Arial"/>
                                      <w:bCs w:val="0"/>
                                      <w:color w:val="FFFFFF" w:themeColor="background1"/>
                                      <w:sz w:val="56"/>
                                      <w:szCs w:val="56"/>
                                    </w:rPr>
                                    <w:t>¿Cómo ha solucionado los principales retos?</w:t>
                                  </w:r>
                                </w:p>
                                <w:p w14:paraId="0DB9541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Arial" w:hAnsi="Arial" w:cs="Arial"/>
                                      <w:bCs w:val="0"/>
                                      <w:color w:val="FFFFFF" w:themeColor="background1"/>
                                      <w:sz w:val="56"/>
                                      <w:szCs w:val="56"/>
                                    </w:rPr>
                                  </w:pPr>
                                </w:p>
                              </w:tc>
                              <w:tc>
                                <w:tcPr>
                                  <w:tcW w:w="6322" w:type="dxa"/>
                                </w:tcPr>
                                <w:p w14:paraId="19DC5FD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Algunas de las lecciones aprendidas de este negocio inclusivo demuestran la importancia de:</w:t>
                                  </w:r>
                                </w:p>
                                <w:p w14:paraId="365547EB"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Identificar las técnicas locales y encontrar maneras de apalancarlas e introducirlas en la cadena de valor: los agricultores locales conocen bien algunos tipos de activos naturales y cómo procesarlos e incluir ese conocimiento en la fabricación de los productos EKO ha contribuido a mejorarlos.</w:t>
                                  </w:r>
                                </w:p>
                                <w:p w14:paraId="00B4DE89"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Construir técnicas y capacidades nuevas junto con los productores, combinando el conocimiento local con las técnicas más sofisticadas de Natura.</w:t>
                                  </w:r>
                                </w:p>
                                <w:p w14:paraId="35C9F148"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Apoyar la educación primaria y secundaria en las comunidades</w:t>
                                  </w:r>
                                </w:p>
                                <w:p w14:paraId="1F3A23E3"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Actuar como fiadores de préstamos micro o medianos para los proveedores</w:t>
                                  </w:r>
                                </w:p>
                                <w:p w14:paraId="147F7A68"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 xml:space="preserve">Abogar por ambientes reguladores que apoyan a las PYMEs </w:t>
                                  </w:r>
                                </w:p>
                              </w:tc>
                            </w:tr>
                          </w:tbl>
                          <w:p w14:paraId="65AEDE5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0959D7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6C74FA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2747769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7B9D315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5879EA4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581E3D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1B1EB45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3F8DC73"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 xml:space="preserve">INCLUYENDO A LA BASE DE LA PIRÁMIDE COMO DISTRIBUIDORES EN AFRICA: COCA-COLA </w:t>
                            </w:r>
                          </w:p>
                          <w:p w14:paraId="7D2DEAC3"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b/>
                                <w:color w:val="FFFFFF" w:themeColor="background1"/>
                                <w:sz w:val="56"/>
                                <w:szCs w:val="56"/>
                              </w:rPr>
                            </w:pPr>
                          </w:p>
                          <w:tbl>
                            <w:tblPr>
                              <w:tblStyle w:val="LightList-Accent2"/>
                              <w:tblW w:w="8789" w:type="dxa"/>
                              <w:tblLayout w:type="fixed"/>
                              <w:tblLook w:val="04A0" w:firstRow="1" w:lastRow="0" w:firstColumn="1" w:lastColumn="0" w:noHBand="0" w:noVBand="1"/>
                            </w:tblPr>
                            <w:tblGrid>
                              <w:gridCol w:w="2410"/>
                              <w:gridCol w:w="6379"/>
                            </w:tblGrid>
                            <w:tr w:rsidR="00D41FC4" w:rsidRPr="00C75EB7" w14:paraId="30F0050A" w14:textId="77777777" w:rsidTr="00B7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594238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bCs w:val="0"/>
                                      <w:sz w:val="56"/>
                                      <w:szCs w:val="56"/>
                                    </w:rPr>
                                  </w:pPr>
                                  <w:r w:rsidRPr="00C75EB7">
                                    <w:rPr>
                                      <w:rFonts w:ascii="Arial" w:hAnsi="Arial" w:cs="Arial"/>
                                      <w:bCs w:val="0"/>
                                      <w:sz w:val="56"/>
                                      <w:szCs w:val="56"/>
                                    </w:rPr>
                                    <w:t>Empresa</w:t>
                                  </w:r>
                                </w:p>
                              </w:tc>
                              <w:tc>
                                <w:tcPr>
                                  <w:tcW w:w="6379" w:type="dxa"/>
                                </w:tcPr>
                                <w:p w14:paraId="7F234F5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56"/>
                                      <w:szCs w:val="56"/>
                                    </w:rPr>
                                  </w:pPr>
                                  <w:r w:rsidRPr="00C75EB7">
                                    <w:rPr>
                                      <w:rFonts w:ascii="Arial" w:hAnsi="Arial" w:cs="Arial"/>
                                      <w:b w:val="0"/>
                                      <w:bCs w:val="0"/>
                                      <w:sz w:val="56"/>
                                      <w:szCs w:val="56"/>
                                    </w:rPr>
                                    <w:t>COCA-COLA</w:t>
                                  </w:r>
                                </w:p>
                                <w:p w14:paraId="08A805B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Arial" w:hAnsi="Arial" w:cs="Arial"/>
                                      <w:sz w:val="56"/>
                                      <w:szCs w:val="56"/>
                                    </w:rPr>
                                  </w:pPr>
                                  <w:r w:rsidRPr="00C75EB7">
                                    <w:rPr>
                                      <w:rFonts w:ascii="Arial" w:hAnsi="Arial" w:cs="Arial"/>
                                      <w:b w:val="0"/>
                                      <w:bCs w:val="0"/>
                                      <w:sz w:val="56"/>
                                      <w:szCs w:val="56"/>
                                    </w:rPr>
                                    <w:t xml:space="preserve">Coca-Cola </w:t>
                                  </w:r>
                                  <w:r w:rsidRPr="00C75EB7">
                                    <w:rPr>
                                      <w:rFonts w:ascii="Arial" w:hAnsi="Arial" w:cs="Arial"/>
                                      <w:sz w:val="56"/>
                                      <w:szCs w:val="56"/>
                                    </w:rPr>
                                    <w:t xml:space="preserve">es una corporación </w:t>
                                  </w:r>
                                  <w:hyperlink r:id="rId14" w:history="1">
                                    <w:r w:rsidRPr="00C75EB7">
                                      <w:rPr>
                                        <w:rFonts w:ascii="Arial" w:hAnsi="Arial" w:cs="Arial"/>
                                        <w:sz w:val="56"/>
                                        <w:szCs w:val="56"/>
                                      </w:rPr>
                                      <w:t>multinacional</w:t>
                                    </w:r>
                                  </w:hyperlink>
                                  <w:r w:rsidRPr="00C75EB7">
                                    <w:rPr>
                                      <w:rFonts w:ascii="Arial" w:hAnsi="Arial" w:cs="Arial"/>
                                      <w:sz w:val="56"/>
                                      <w:szCs w:val="56"/>
                                    </w:rPr>
                                    <w:t xml:space="preserve"> dedicada a la elaboración de </w:t>
                                  </w:r>
                                  <w:hyperlink r:id="rId15" w:history="1">
                                    <w:r w:rsidRPr="00C75EB7">
                                      <w:rPr>
                                        <w:rFonts w:ascii="Arial" w:hAnsi="Arial" w:cs="Arial"/>
                                        <w:sz w:val="56"/>
                                        <w:szCs w:val="56"/>
                                      </w:rPr>
                                      <w:t>bebidas</w:t>
                                    </w:r>
                                  </w:hyperlink>
                                  <w:r w:rsidRPr="00C75EB7">
                                    <w:rPr>
                                      <w:rFonts w:ascii="Arial" w:hAnsi="Arial" w:cs="Arial"/>
                                      <w:sz w:val="56"/>
                                      <w:szCs w:val="56"/>
                                    </w:rPr>
                                    <w:t xml:space="preserve"> y </w:t>
                                  </w:r>
                                  <w:hyperlink r:id="rId16" w:history="1">
                                    <w:r w:rsidRPr="00C75EB7">
                                      <w:rPr>
                                        <w:rFonts w:ascii="Arial" w:hAnsi="Arial" w:cs="Arial"/>
                                        <w:sz w:val="56"/>
                                        <w:szCs w:val="56"/>
                                      </w:rPr>
                                      <w:t>alimentos</w:t>
                                    </w:r>
                                  </w:hyperlink>
                                  <w:r w:rsidRPr="00C75EB7">
                                    <w:rPr>
                                      <w:rFonts w:ascii="Arial" w:hAnsi="Arial" w:cs="Arial"/>
                                      <w:sz w:val="56"/>
                                      <w:szCs w:val="56"/>
                                    </w:rPr>
                                    <w:t xml:space="preserve">. Con sede en </w:t>
                                  </w:r>
                                  <w:hyperlink r:id="rId17" w:history="1">
                                    <w:r w:rsidRPr="00C75EB7">
                                      <w:rPr>
                                        <w:rFonts w:ascii="Arial" w:hAnsi="Arial" w:cs="Arial"/>
                                        <w:sz w:val="56"/>
                                        <w:szCs w:val="56"/>
                                      </w:rPr>
                                      <w:t>Atlanta</w:t>
                                    </w:r>
                                  </w:hyperlink>
                                  <w:r w:rsidRPr="00C75EB7">
                                    <w:rPr>
                                      <w:rFonts w:ascii="Arial" w:hAnsi="Arial" w:cs="Arial"/>
                                      <w:sz w:val="56"/>
                                      <w:szCs w:val="56"/>
                                    </w:rPr>
                                    <w:t xml:space="preserve">, el principal producto es el </w:t>
                                  </w:r>
                                  <w:hyperlink r:id="rId18" w:history="1">
                                    <w:r w:rsidRPr="00C75EB7">
                                      <w:rPr>
                                        <w:rFonts w:ascii="Arial" w:hAnsi="Arial" w:cs="Arial"/>
                                        <w:sz w:val="56"/>
                                        <w:szCs w:val="56"/>
                                      </w:rPr>
                                      <w:t>refresco</w:t>
                                    </w:r>
                                  </w:hyperlink>
                                  <w:r w:rsidRPr="00C75EB7">
                                    <w:rPr>
                                      <w:rFonts w:ascii="Arial" w:hAnsi="Arial" w:cs="Arial"/>
                                      <w:sz w:val="56"/>
                                      <w:szCs w:val="56"/>
                                    </w:rPr>
                                    <w:t xml:space="preserve"> más consumido del mundo: la </w:t>
                                  </w:r>
                                  <w:hyperlink r:id="rId19" w:history="1">
                                    <w:r w:rsidRPr="00C75EB7">
                                      <w:rPr>
                                        <w:rFonts w:ascii="Arial" w:hAnsi="Arial" w:cs="Arial"/>
                                        <w:sz w:val="56"/>
                                        <w:szCs w:val="56"/>
                                      </w:rPr>
                                      <w:t>Coca-Cola</w:t>
                                    </w:r>
                                  </w:hyperlink>
                                  <w:r w:rsidRPr="00C75EB7">
                                    <w:rPr>
                                      <w:rFonts w:ascii="Arial" w:hAnsi="Arial" w:cs="Arial"/>
                                      <w:sz w:val="56"/>
                                      <w:szCs w:val="56"/>
                                    </w:rPr>
                                    <w:t xml:space="preserve">. </w:t>
                                  </w:r>
                                </w:p>
                              </w:tc>
                            </w:tr>
                            <w:tr w:rsidR="00D41FC4" w:rsidRPr="00C75EB7" w14:paraId="1FAC279D"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2FE160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color w:val="FFFFFF" w:themeColor="background1"/>
                                      <w:sz w:val="56"/>
                                      <w:szCs w:val="56"/>
                                    </w:rPr>
                                  </w:pPr>
                                  <w:r w:rsidRPr="00C75EB7">
                                    <w:rPr>
                                      <w:rFonts w:ascii="Arial" w:hAnsi="Arial" w:cs="Arial"/>
                                      <w:bCs w:val="0"/>
                                      <w:color w:val="FFFFFF" w:themeColor="background1"/>
                                      <w:sz w:val="56"/>
                                      <w:szCs w:val="56"/>
                                    </w:rPr>
                                    <w:t>Concepto de negocio inclusivo</w:t>
                                  </w:r>
                                  <w:r w:rsidRPr="00C75EB7">
                                    <w:rPr>
                                      <w:rFonts w:ascii="Arial" w:hAnsi="Arial" w:cs="Arial"/>
                                      <w:color w:val="FFFFFF" w:themeColor="background1"/>
                                      <w:sz w:val="56"/>
                                      <w:szCs w:val="56"/>
                                    </w:rPr>
                                    <w:tab/>
                                    <w:t xml:space="preserve"> </w:t>
                                  </w:r>
                                </w:p>
                              </w:tc>
                              <w:tc>
                                <w:tcPr>
                                  <w:tcW w:w="6379" w:type="dxa"/>
                                </w:tcPr>
                                <w:p w14:paraId="689F78E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 xml:space="preserve">Para distribuir sus productos en áreas urbanas y periurbanas de difícil acceso en África, Coca Cola utiliza pequeñas empresas que distribuyen sus productos manualmente a los pequeños minoristas de la zona. Para ello ha creado los llamados  Centros de Distribución Manual (CDMs), de propiedad independiente, que trabajan en mercados al por menor donde los modelos clásicos de distribución de Coca Cola no son efectivos ni eficientes. </w:t>
                                  </w:r>
                                </w:p>
                                <w:p w14:paraId="48EF4EB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Coca Cola forma a emprendedores locales para que se conviertan en distribuidores de  la compañía a través de los CDM. Muchos de ellos son mujeres.</w:t>
                                  </w:r>
                                </w:p>
                              </w:tc>
                            </w:tr>
                            <w:tr w:rsidR="00D41FC4" w:rsidRPr="00C75EB7" w14:paraId="0C8FDE9C" w14:textId="77777777" w:rsidTr="00B70620">
                              <w:tc>
                                <w:tcPr>
                                  <w:cnfStyle w:val="001000000000" w:firstRow="0" w:lastRow="0" w:firstColumn="1" w:lastColumn="0" w:oddVBand="0" w:evenVBand="0" w:oddHBand="0" w:evenHBand="0" w:firstRowFirstColumn="0" w:firstRowLastColumn="0" w:lastRowFirstColumn="0" w:lastRowLastColumn="0"/>
                                  <w:tcW w:w="2410" w:type="dxa"/>
                                </w:tcPr>
                                <w:p w14:paraId="2A78770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color w:val="FFFFFF" w:themeColor="background1"/>
                                      <w:sz w:val="56"/>
                                      <w:szCs w:val="56"/>
                                    </w:rPr>
                                  </w:pPr>
                                  <w:r w:rsidRPr="00C75EB7">
                                    <w:rPr>
                                      <w:rFonts w:ascii="Arial" w:hAnsi="Arial" w:cs="Arial"/>
                                      <w:bCs w:val="0"/>
                                      <w:color w:val="FFFFFF" w:themeColor="background1"/>
                                      <w:sz w:val="56"/>
                                      <w:szCs w:val="56"/>
                                    </w:rPr>
                                    <w:t>Oportunidades</w:t>
                                  </w:r>
                                  <w:r w:rsidRPr="00C75EB7">
                                    <w:rPr>
                                      <w:rFonts w:ascii="Arial" w:hAnsi="Arial" w:cs="Arial"/>
                                      <w:color w:val="FFFFFF" w:themeColor="background1"/>
                                      <w:sz w:val="56"/>
                                      <w:szCs w:val="56"/>
                                    </w:rPr>
                                    <w:tab/>
                                  </w:r>
                                </w:p>
                              </w:tc>
                              <w:tc>
                                <w:tcPr>
                                  <w:tcW w:w="6379" w:type="dxa"/>
                                </w:tcPr>
                                <w:p w14:paraId="6A7BC5F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b/>
                                      <w:color w:val="FFFFFF" w:themeColor="background1"/>
                                      <w:sz w:val="56"/>
                                      <w:szCs w:val="56"/>
                                    </w:rPr>
                                    <w:t xml:space="preserve">Para Coca-Cola: </w:t>
                                  </w:r>
                                  <w:r w:rsidRPr="00C75EB7">
                                    <w:rPr>
                                      <w:rFonts w:ascii="Arial" w:hAnsi="Arial" w:cs="Arial"/>
                                      <w:color w:val="FFFFFF" w:themeColor="background1"/>
                                      <w:sz w:val="56"/>
                                      <w:szCs w:val="56"/>
                                    </w:rPr>
                                    <w:t>la falta de infraestructura vial en algunas zonas pobres de Africa supone una barrera para los distribuidores de Coca Cola. Esta iniciativa permite resolver los problemas de distribución de la empresa en  ciertas áreas geográficas.</w:t>
                                  </w:r>
                                </w:p>
                                <w:p w14:paraId="2967C22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b/>
                                      <w:color w:val="FFFFFF" w:themeColor="background1"/>
                                      <w:sz w:val="56"/>
                                      <w:szCs w:val="56"/>
                                    </w:rPr>
                                    <w:t>Para la Base de la Pirámide</w:t>
                                  </w:r>
                                  <w:r w:rsidRPr="00C75EB7">
                                    <w:rPr>
                                      <w:rFonts w:ascii="Arial" w:hAnsi="Arial" w:cs="Arial"/>
                                      <w:color w:val="FFFFFF" w:themeColor="background1"/>
                                      <w:sz w:val="56"/>
                                      <w:szCs w:val="56"/>
                                    </w:rPr>
                                    <w:t>: También existe falta de apoyo al emprendimiento, en particular a las mujeres y falta de empleo a nivel local. A través de los CDMs Coca Cola fomenta el emprendimiento  generando empleo y riqueza en las comunidades más pobres.</w:t>
                                  </w:r>
                                </w:p>
                              </w:tc>
                            </w:tr>
                            <w:tr w:rsidR="00D41FC4" w:rsidRPr="00C75EB7" w14:paraId="4616062E"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65BBFF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color w:val="FFFFFF" w:themeColor="background1"/>
                                      <w:sz w:val="56"/>
                                      <w:szCs w:val="56"/>
                                    </w:rPr>
                                  </w:pPr>
                                  <w:r w:rsidRPr="00C75EB7">
                                    <w:rPr>
                                      <w:rFonts w:ascii="Arial" w:hAnsi="Arial" w:cs="Arial"/>
                                      <w:bCs w:val="0"/>
                                      <w:color w:val="FFFFFF" w:themeColor="background1"/>
                                      <w:sz w:val="56"/>
                                      <w:szCs w:val="56"/>
                                    </w:rPr>
                                    <w:t>¿Cómo?</w:t>
                                  </w:r>
                                </w:p>
                              </w:tc>
                              <w:tc>
                                <w:tcPr>
                                  <w:tcW w:w="6379" w:type="dxa"/>
                                </w:tcPr>
                                <w:p w14:paraId="08E14B6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Coca-Cola Sabco desarrolló el modelo MDC como proyecto piloto en Etiopia  y luego lo implementó  a gran escala en Africa del Este.</w:t>
                                  </w:r>
                                </w:p>
                              </w:tc>
                            </w:tr>
                            <w:tr w:rsidR="00D41FC4" w:rsidRPr="00C75EB7" w14:paraId="57F794E3" w14:textId="77777777" w:rsidTr="00B70620">
                              <w:tc>
                                <w:tcPr>
                                  <w:cnfStyle w:val="001000000000" w:firstRow="0" w:lastRow="0" w:firstColumn="1" w:lastColumn="0" w:oddVBand="0" w:evenVBand="0" w:oddHBand="0" w:evenHBand="0" w:firstRowFirstColumn="0" w:firstRowLastColumn="0" w:lastRowFirstColumn="0" w:lastRowLastColumn="0"/>
                                  <w:tcW w:w="2410" w:type="dxa"/>
                                </w:tcPr>
                                <w:p w14:paraId="55F7FE2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color w:val="FFFFFF" w:themeColor="background1"/>
                                      <w:sz w:val="56"/>
                                      <w:szCs w:val="56"/>
                                    </w:rPr>
                                  </w:pPr>
                                  <w:r w:rsidRPr="00C75EB7">
                                    <w:rPr>
                                      <w:rFonts w:ascii="Arial" w:hAnsi="Arial" w:cs="Arial"/>
                                      <w:bCs w:val="0"/>
                                      <w:color w:val="FFFFFF" w:themeColor="background1"/>
                                      <w:sz w:val="56"/>
                                      <w:szCs w:val="56"/>
                                    </w:rPr>
                                    <w:t>Resultados</w:t>
                                  </w:r>
                                </w:p>
                              </w:tc>
                              <w:tc>
                                <w:tcPr>
                                  <w:tcW w:w="6379" w:type="dxa"/>
                                </w:tcPr>
                                <w:p w14:paraId="25DE3081"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2.500 MDCs en Africa, generando más de 12.000 trabajos y más de USD 500 millones anuales en renta. Los MDCs cuentan  como el 80% de las ventas de Coca-Cola en África del Este. El sistema creó oportunidades económicas para las mujeres que poseen el 19% de los CDM en Etiopia y el 32% en Tanzania.</w:t>
                                  </w:r>
                                </w:p>
                              </w:tc>
                            </w:tr>
                          </w:tbl>
                          <w:p w14:paraId="5017A20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35AEDC87"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Conclusión</w:t>
                            </w:r>
                          </w:p>
                          <w:p w14:paraId="104EEA8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Los negocios inclusivos son considerados hoy en día por algunos sectores empresariales, grandes agencias de cooperación internacional y organismos de desarrollo, como una estrategia de superación de la pobreza que permite una participación activa del sector privado en los temas de desarrollo y la incorporación de comunidades empobrecidas en circuitos de mercado.</w:t>
                            </w:r>
                          </w:p>
                          <w:p w14:paraId="3E89165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Estamos frente un cambio en el paradigma de la pobreza basado en la idea de que los pobres tienen potencial para generar valor y salir de su situación de vulnerabilidad por sí mismos si se les proporcionan oportunidades y acceso a bienes, servicios y trabajo. También  se ha producido un cambio de perspectiva en cuanto  a quien debe asumir  el compromiso de aportar soluciones a los problemas sociales. Desde esta nueva perspectiva, los problemas de desigualdad y pobreza ya no suponen una responsabilidad sólo para los poderes públicos, también se espera que las empresas asuman un papel activo en su resolución.</w:t>
                            </w:r>
                          </w:p>
                          <w:p w14:paraId="2C29D4E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A través de los negocios inclusivos, el sector privado puede adaptarse a ambos cambios respondiendo a las nuevas expectativas que se tiene sobre su actuación, mejorando su reputación e imagen y al mismo tiempo utilizando el valor que existe en la base de la pirámide de forma económicamente viable y encontrando nuevos mercados en los que crecer. Existen algunos retos y barreras en el desarrollo de estos nuevos modelos de negocio pero también estrategias y mecanismos para superarlos. Algunos de las recomendaciones presentadas en este capitulo han sido utilizadas con éxito por algunas grandes empresas de distintos sectores y en grandes líneas se pueden  son las siguientes: adaptar los productos y procesos a la realidad local buscando la innovación y la flexibilidad, invertir para reducir las restricciones de mercado, apalancar las fortalezas de los pobres, combinar recursos y capacidades, comprometerse en diálogos con los gobiernos y promover la construcción del tejido social. </w:t>
                            </w:r>
                          </w:p>
                          <w:p w14:paraId="5BD9739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La magnitud de  las oportunidades de los negocios inclusivos y su potencial impacto positivo en el desarrollo de la Base de la Pirámide justifican el esfuerzo que supone superar las barreras iniciales .</w:t>
                            </w:r>
                          </w:p>
                          <w:p w14:paraId="4034413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FB7DC1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3B84104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Bibliografía</w:t>
                            </w:r>
                          </w:p>
                          <w:p w14:paraId="5471B2D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8E782C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Anupindi, Ravi y S. Sivakumar. </w:t>
                            </w:r>
                            <w:r w:rsidRPr="00C75EB7">
                              <w:rPr>
                                <w:rFonts w:ascii="Arial" w:hAnsi="Arial" w:cs="Arial"/>
                                <w:color w:val="FFFFFF" w:themeColor="background1"/>
                                <w:sz w:val="56"/>
                                <w:szCs w:val="56"/>
                                <w:lang w:val="en-US"/>
                              </w:rPr>
                              <w:t>“A Platform Strategy for Rural Transformation.” En Business Solutions for the Global Poor: Creating Economic and Social Value, editado por Kasturi Rangan, John Quelch, Gustavo Herrero y Brooke Barton, 193–206. San Francisco, CA: Jossey-Bass, 2007.</w:t>
                            </w:r>
                          </w:p>
                          <w:p w14:paraId="5491ED5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7D4B91B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Austin, James E. Agroindustrial Project Analysis: Critical Design Factors. 2a ed. Baltimore, MD: Johns Hopkins University Press, 1992.</w:t>
                            </w:r>
                          </w:p>
                          <w:p w14:paraId="5721717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390AE2B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Austin, James E. y Michael Chu.</w:t>
                            </w:r>
                            <w:proofErr w:type="gramEnd"/>
                            <w:r w:rsidRPr="00C75EB7">
                              <w:rPr>
                                <w:rFonts w:ascii="Arial" w:hAnsi="Arial" w:cs="Arial"/>
                                <w:color w:val="FFFFFF" w:themeColor="background1"/>
                                <w:sz w:val="56"/>
                                <w:szCs w:val="56"/>
                                <w:lang w:val="en-US"/>
                              </w:rPr>
                              <w:t xml:space="preserve"> “Business and Low-Income Sectors: Finding a New Weapon to Attack Poverty.” </w:t>
                            </w:r>
                            <w:r w:rsidRPr="00C75EB7">
                              <w:rPr>
                                <w:rFonts w:ascii="Arial" w:hAnsi="Arial" w:cs="Arial"/>
                                <w:color w:val="FFFFFF" w:themeColor="background1"/>
                                <w:sz w:val="56"/>
                                <w:szCs w:val="56"/>
                              </w:rPr>
                              <w:t>ReVista: Harvard Review of Latin America (2006).</w:t>
                            </w:r>
                          </w:p>
                          <w:p w14:paraId="71A90D7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Austin, James, Roberto Gutiérrez, Enrique Ogliastri y Ezequiel Reficco. </w:t>
                            </w:r>
                            <w:r w:rsidRPr="00C75EB7">
                              <w:rPr>
                                <w:rFonts w:ascii="Arial" w:hAnsi="Arial" w:cs="Arial"/>
                                <w:color w:val="FFFFFF" w:themeColor="background1"/>
                                <w:sz w:val="56"/>
                                <w:szCs w:val="56"/>
                                <w:lang w:val="en-US"/>
                              </w:rPr>
                              <w:t>“Capitalizing on Convergence.” Stanford Social Innovation Review (invierno de 2007): 24–31.</w:t>
                            </w:r>
                          </w:p>
                          <w:p w14:paraId="7D76F09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6F8A0A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Austin, James, Herman Leonard, Ezequiel Reficco y Jane Wei-Skillern.</w:t>
                            </w:r>
                            <w:proofErr w:type="gramEnd"/>
                            <w:r w:rsidRPr="00C75EB7">
                              <w:rPr>
                                <w:rFonts w:ascii="Arial" w:hAnsi="Arial" w:cs="Arial"/>
                                <w:color w:val="FFFFFF" w:themeColor="background1"/>
                                <w:sz w:val="56"/>
                                <w:szCs w:val="56"/>
                                <w:lang w:val="en-US"/>
                              </w:rPr>
                              <w:t xml:space="preserve"> “Corporate Social Entrepreneurship: The New Frontier.” </w:t>
                            </w:r>
                            <w:proofErr w:type="gramStart"/>
                            <w:r w:rsidRPr="00C75EB7">
                              <w:rPr>
                                <w:rFonts w:ascii="Arial" w:hAnsi="Arial" w:cs="Arial"/>
                                <w:color w:val="FFFFFF" w:themeColor="background1"/>
                                <w:sz w:val="56"/>
                                <w:szCs w:val="56"/>
                                <w:lang w:val="en-US"/>
                              </w:rPr>
                              <w:t>En The Accountable Corporation.</w:t>
                            </w:r>
                            <w:proofErr w:type="gramEnd"/>
                            <w:r w:rsidRPr="00C75EB7">
                              <w:rPr>
                                <w:rFonts w:ascii="Arial" w:hAnsi="Arial" w:cs="Arial"/>
                                <w:color w:val="FFFFFF" w:themeColor="background1"/>
                                <w:sz w:val="56"/>
                                <w:szCs w:val="56"/>
                                <w:lang w:val="en-US"/>
                              </w:rPr>
                              <w:t xml:space="preserve"> </w:t>
                            </w:r>
                            <w:r w:rsidRPr="00C75EB7">
                              <w:rPr>
                                <w:rFonts w:ascii="Arial" w:hAnsi="Arial" w:cs="Arial"/>
                                <w:color w:val="FFFFFF" w:themeColor="background1"/>
                                <w:sz w:val="56"/>
                                <w:szCs w:val="56"/>
                              </w:rPr>
                              <w:t xml:space="preserve">Volume 3: Corporate Social Responsibility, editado por Marc Epstein y Kirk Hanson. </w:t>
                            </w:r>
                            <w:r w:rsidRPr="00C75EB7">
                              <w:rPr>
                                <w:rFonts w:ascii="Arial" w:hAnsi="Arial" w:cs="Arial"/>
                                <w:color w:val="FFFFFF" w:themeColor="background1"/>
                                <w:sz w:val="56"/>
                                <w:szCs w:val="56"/>
                                <w:lang w:val="en-US"/>
                              </w:rPr>
                              <w:t>Westport, CT: Praeger, 2006.</w:t>
                            </w:r>
                          </w:p>
                          <w:p w14:paraId="1B3811B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10D6F2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“Social Entrepreneurship: It’s for Corporations, Too.” En Social Entrepreneurship: New Paradigms of Sustainable Social Change, editado por Alex Nicholls. Oxford: Oxford University Press, 2005.</w:t>
                            </w:r>
                          </w:p>
                          <w:p w14:paraId="0B6E0FC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860DCC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Austin, James, Patricia Márquez, Ezequiel Reficco, Gabriel Berger, et al. “Building New Business Value Chains with Low Income Sectors in Latin America.” En Business Solutions for the Global Poor: Creating Economic and Social Value, edi- tado por Kasturi Rangan, John Quelch, Gustavo Herrero y Brooke Barton. </w:t>
                            </w:r>
                            <w:r w:rsidRPr="00C75EB7">
                              <w:rPr>
                                <w:rFonts w:ascii="Arial" w:hAnsi="Arial" w:cs="Arial"/>
                                <w:color w:val="FFFFFF" w:themeColor="background1"/>
                                <w:sz w:val="56"/>
                                <w:szCs w:val="56"/>
                              </w:rPr>
                              <w:t>San Francisco, CA: Jossey-Bass, 2007.</w:t>
                            </w:r>
                          </w:p>
                          <w:p w14:paraId="570285B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6D001D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Austin, James, Ezequiel Reficco, Gabriel Berger, Rosa María Fischer, et al. </w:t>
                            </w:r>
                            <w:r w:rsidRPr="00C75EB7">
                              <w:rPr>
                                <w:rFonts w:ascii="Arial" w:hAnsi="Arial" w:cs="Arial"/>
                                <w:color w:val="FFFFFF" w:themeColor="background1"/>
                                <w:sz w:val="56"/>
                                <w:szCs w:val="56"/>
                                <w:lang w:val="en-US"/>
                              </w:rPr>
                              <w:t>Social Partnering in Latin America: Lessons Drawn from Collaborations of Businesses and Civil Society Organizations. Cambridge, MA: Universidad de Harvard, David Rockefeller Center for Latin American Studies, distribuido por Harvard University Press, 2004.</w:t>
                            </w:r>
                          </w:p>
                          <w:p w14:paraId="44E3587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0C5B26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Ayyagari, Meghana, Asli Demirguç-Kunt y Thorsten Beck. Small and Medium Enterprises across the Globe: A New Database. </w:t>
                            </w:r>
                            <w:r w:rsidRPr="00C75EB7">
                              <w:rPr>
                                <w:rFonts w:ascii="Arial" w:hAnsi="Arial" w:cs="Arial"/>
                                <w:color w:val="FFFFFF" w:themeColor="background1"/>
                                <w:sz w:val="56"/>
                                <w:szCs w:val="56"/>
                              </w:rPr>
                              <w:t>SSRN, 2003.</w:t>
                            </w:r>
                          </w:p>
                          <w:p w14:paraId="1B593BA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953797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2268DD9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Chu, Michael. “Commercial Returns and Social Value: The Case of Microfinance.” </w:t>
                            </w:r>
                            <w:r w:rsidRPr="00C75EB7">
                              <w:rPr>
                                <w:rFonts w:ascii="Arial" w:hAnsi="Arial" w:cs="Arial"/>
                                <w:color w:val="FFFFFF" w:themeColor="background1"/>
                                <w:sz w:val="56"/>
                                <w:szCs w:val="56"/>
                              </w:rPr>
                              <w:t>Documento presentado en la conferencia sobre pobreza mundial organizada por la Harvard Business School, Boston, MA, 1 al 3 de diciembre de 2005.</w:t>
                            </w:r>
                          </w:p>
                          <w:p w14:paraId="2C08FB1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“Commercial Returns at the Base of the Pyramid.” Innovations (invierno– primavera de 2007): 115–</w:t>
                            </w:r>
                          </w:p>
                          <w:p w14:paraId="6F964F8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 “Microfinance: Business, Profitability and the Creation of Social Value.” En Business Solutions for the Global Poor: Creating Economic and Social Value, editado por Kasturi Rangan, John Quelch, Gustavo Herrero y Brooke Barton, 309–20. </w:t>
                            </w:r>
                            <w:r w:rsidRPr="00C75EB7">
                              <w:rPr>
                                <w:rFonts w:ascii="Arial" w:hAnsi="Arial" w:cs="Arial"/>
                                <w:color w:val="FFFFFF" w:themeColor="background1"/>
                                <w:sz w:val="56"/>
                                <w:szCs w:val="56"/>
                              </w:rPr>
                              <w:t>San Francisco, CA: Jossey-Bass, 2007.</w:t>
                            </w:r>
                          </w:p>
                          <w:p w14:paraId="7476505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79F46F4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Drucker, Peter F. Innovation and Entrepreneurship: Practice and Principles. 1a ed. Nueva York: Harper &amp; Row, 1985.</w:t>
                            </w:r>
                          </w:p>
                          <w:p w14:paraId="315D924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DC2143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Easton, Tom. “The Hidden Wealth of the Poor.” </w:t>
                            </w:r>
                            <w:r w:rsidRPr="00C75EB7">
                              <w:rPr>
                                <w:rFonts w:ascii="Arial" w:hAnsi="Arial" w:cs="Arial"/>
                                <w:color w:val="FFFFFF" w:themeColor="background1"/>
                                <w:sz w:val="56"/>
                                <w:szCs w:val="56"/>
                              </w:rPr>
                              <w:t>The Economist, 5 de noviembre de 2005.</w:t>
                            </w:r>
                          </w:p>
                          <w:p w14:paraId="498DB0E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Eliasson, Gunnar. “The Role of Knowledge in Economic Growth.” </w:t>
                            </w:r>
                            <w:r w:rsidRPr="00C75EB7">
                              <w:rPr>
                                <w:rFonts w:ascii="Arial" w:hAnsi="Arial" w:cs="Arial"/>
                                <w:color w:val="FFFFFF" w:themeColor="background1"/>
                                <w:sz w:val="56"/>
                                <w:szCs w:val="56"/>
                              </w:rPr>
                              <w:t>Estocolmo: Instituto Real de Tecnología, Estocolmo, TRITA-IEO-R, 2000.</w:t>
                            </w:r>
                          </w:p>
                          <w:p w14:paraId="5BC8A01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3AB2EDE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Elsner, Wolfram. “The ‘New’ Economy: Complexity, Coordination and a Hybrid Governance Approach.” International Journal of Social Economics 31, nro. </w:t>
                            </w:r>
                            <w:proofErr w:type="gramStart"/>
                            <w:r w:rsidRPr="00C75EB7">
                              <w:rPr>
                                <w:rFonts w:ascii="Arial" w:hAnsi="Arial" w:cs="Arial"/>
                                <w:color w:val="FFFFFF" w:themeColor="background1"/>
                                <w:sz w:val="56"/>
                                <w:szCs w:val="56"/>
                                <w:lang w:val="en-US"/>
                              </w:rPr>
                              <w:t>11 (2004): 1029–49.</w:t>
                            </w:r>
                            <w:proofErr w:type="gramEnd"/>
                          </w:p>
                          <w:p w14:paraId="7D5D4BF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7F386AD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Emerson, Jed y Sheila Bonini.</w:t>
                            </w:r>
                            <w:proofErr w:type="gramEnd"/>
                            <w:r w:rsidRPr="00C75EB7">
                              <w:rPr>
                                <w:rFonts w:ascii="Arial" w:hAnsi="Arial" w:cs="Arial"/>
                                <w:color w:val="FFFFFF" w:themeColor="background1"/>
                                <w:sz w:val="56"/>
                                <w:szCs w:val="56"/>
                                <w:lang w:val="en-US"/>
                              </w:rPr>
                              <w:t xml:space="preserve"> “The Blended Value Map: Tracking the Intersects and Opportunities of Economic, Social and Environmental Value Creation,” </w:t>
                            </w:r>
                            <w:hyperlink r:id="rId20" w:history="1">
                              <w:r w:rsidRPr="00C75EB7">
                                <w:rPr>
                                  <w:rStyle w:val="Hyperlink"/>
                                  <w:rFonts w:ascii="Arial" w:hAnsi="Arial" w:cs="Arial"/>
                                  <w:color w:val="FFFFFF" w:themeColor="background1"/>
                                  <w:sz w:val="56"/>
                                  <w:szCs w:val="56"/>
                                  <w:lang w:val="en-US"/>
                                </w:rPr>
                                <w:t>http://www.blendedvalue.org/media/pdf-bv-map.pdf</w:t>
                              </w:r>
                            </w:hyperlink>
                            <w:r w:rsidRPr="00C75EB7">
                              <w:rPr>
                                <w:rFonts w:ascii="Arial" w:hAnsi="Arial" w:cs="Arial"/>
                                <w:color w:val="FFFFFF" w:themeColor="background1"/>
                                <w:sz w:val="56"/>
                                <w:szCs w:val="56"/>
                                <w:lang w:val="en-US"/>
                              </w:rPr>
                              <w:t>.</w:t>
                            </w:r>
                          </w:p>
                          <w:p w14:paraId="3268B79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7657055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Epstein, Marc J. y Christopher A. Crane.</w:t>
                            </w:r>
                            <w:proofErr w:type="gramEnd"/>
                            <w:r w:rsidRPr="00C75EB7">
                              <w:rPr>
                                <w:rFonts w:ascii="Arial" w:hAnsi="Arial" w:cs="Arial"/>
                                <w:color w:val="FFFFFF" w:themeColor="background1"/>
                                <w:sz w:val="56"/>
                                <w:szCs w:val="56"/>
                                <w:lang w:val="en-US"/>
                              </w:rPr>
                              <w:t xml:space="preserve"> “Alleviating Global Poverty through Microfinance: Factors and Measures of Financial, Economic, and Social Performance.” </w:t>
                            </w:r>
                            <w:r w:rsidRPr="00C75EB7">
                              <w:rPr>
                                <w:rFonts w:ascii="Arial" w:hAnsi="Arial" w:cs="Arial"/>
                                <w:color w:val="FFFFFF" w:themeColor="background1"/>
                                <w:sz w:val="56"/>
                                <w:szCs w:val="56"/>
                              </w:rPr>
                              <w:t>Documento presentado en la conferencia sobre pobreza mundial or- ganizada por la Harvard Business School, Boston, MA, 1 al 3 de diciembre de 2005.</w:t>
                            </w:r>
                          </w:p>
                          <w:p w14:paraId="03741E3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8B7EE8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Gittell, Ross y Avis Vidal.</w:t>
                            </w:r>
                            <w:proofErr w:type="gramEnd"/>
                            <w:r w:rsidRPr="00C75EB7">
                              <w:rPr>
                                <w:rFonts w:ascii="Arial" w:hAnsi="Arial" w:cs="Arial"/>
                                <w:color w:val="FFFFFF" w:themeColor="background1"/>
                                <w:sz w:val="56"/>
                                <w:szCs w:val="56"/>
                                <w:lang w:val="en-US"/>
                              </w:rPr>
                              <w:t xml:space="preserve"> Community Organization: Building Social Capital as a Development Strategy. Londres: Sage, 1998.</w:t>
                            </w:r>
                          </w:p>
                          <w:p w14:paraId="6346CD5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2E407F1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Goldberg, Ray A. y Kerry Herman.</w:t>
                            </w:r>
                            <w:proofErr w:type="gramEnd"/>
                            <w:r w:rsidRPr="00C75EB7">
                              <w:rPr>
                                <w:rFonts w:ascii="Arial" w:hAnsi="Arial" w:cs="Arial"/>
                                <w:color w:val="FFFFFF" w:themeColor="background1"/>
                                <w:sz w:val="56"/>
                                <w:szCs w:val="56"/>
                                <w:lang w:val="en-US"/>
                              </w:rPr>
                              <w:t xml:space="preserve"> “Nestle’s Milk District Model: Economic Development for a Value-Added Food Chain and Improved Nutrition.” En Business Solutions for the Global Poor: Creating Economic and Social Value, edi- tado por Kasturi Rangan, John Quelch, Gustavo </w:t>
                            </w:r>
                          </w:p>
                          <w:p w14:paraId="7B57575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0BE65D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Gómez, Henry, Patricia Márquez y Michael Penfold. “Cómo AES-EDC generó re- laciones rentables en los barrios pobres de Caracas.” Harvard Business Review América Latina (diciembre de 2006): 68–</w:t>
                            </w:r>
                          </w:p>
                          <w:p w14:paraId="0356D79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3599321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Grootaert, Christiaan y Thierry van Bastelaer.</w:t>
                            </w:r>
                            <w:proofErr w:type="gramEnd"/>
                            <w:r w:rsidRPr="00C75EB7">
                              <w:rPr>
                                <w:rFonts w:ascii="Arial" w:hAnsi="Arial" w:cs="Arial"/>
                                <w:color w:val="FFFFFF" w:themeColor="background1"/>
                                <w:sz w:val="56"/>
                                <w:szCs w:val="56"/>
                                <w:lang w:val="en-US"/>
                              </w:rPr>
                              <w:t xml:space="preserve"> “Understanding and Measuring Social Capital: A Synthesis of Findings and Recommendations from the Social Capital Initiative.” </w:t>
                            </w:r>
                            <w:r w:rsidRPr="00C75EB7">
                              <w:rPr>
                                <w:rFonts w:ascii="Arial" w:hAnsi="Arial" w:cs="Arial"/>
                                <w:color w:val="FFFFFF" w:themeColor="background1"/>
                                <w:sz w:val="56"/>
                                <w:szCs w:val="56"/>
                              </w:rPr>
                              <w:t>Washington DC: Banco Mundial, 2001.</w:t>
                            </w:r>
                          </w:p>
                          <w:p w14:paraId="51246B3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7D31C6F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Gulati, Ranjay, Sarah Huffman y Gary Neilson.“The Barista Principle: Starbucks and the Rise of Relational Capital.” </w:t>
                            </w:r>
                            <w:proofErr w:type="gramStart"/>
                            <w:r w:rsidRPr="00C75EB7">
                              <w:rPr>
                                <w:rFonts w:ascii="Arial" w:hAnsi="Arial" w:cs="Arial"/>
                                <w:color w:val="FFFFFF" w:themeColor="background1"/>
                                <w:sz w:val="56"/>
                                <w:szCs w:val="56"/>
                                <w:lang w:val="en-US"/>
                              </w:rPr>
                              <w:t>Strategy &amp; Competition, 3o trimestre (2002).</w:t>
                            </w:r>
                            <w:proofErr w:type="gramEnd"/>
                          </w:p>
                          <w:p w14:paraId="79A9DA9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043411B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Hagel, John, John Seely Brown y Lang Davison. “Shaping Strategy in a World of Constant Disruption.” Harvard Business Review (octubre de 2008). </w:t>
                            </w:r>
                            <w:hyperlink r:id="rId21" w:history="1">
                              <w:r w:rsidRPr="00C75EB7">
                                <w:rPr>
                                  <w:rStyle w:val="Hyperlink"/>
                                  <w:rFonts w:ascii="Arial" w:hAnsi="Arial" w:cs="Arial"/>
                                  <w:color w:val="FFFFFF" w:themeColor="background1"/>
                                  <w:sz w:val="56"/>
                                  <w:szCs w:val="56"/>
                                  <w:lang w:val="en-US"/>
                                </w:rPr>
                                <w:t>http://www.johnseelybrown.com/shapingstrategy.pdf</w:t>
                              </w:r>
                            </w:hyperlink>
                          </w:p>
                          <w:p w14:paraId="5C97CC1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67D031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Hammond, Allen L., William J. Kramer, Robert S. Katz, Julia T. Tran y Courtland Walker. The Next 4 Billion: Market Size and Business Strategy at the Base of the Pyramid. Washington, DC: World Resources Institute y Corporación Financiera Internacional, 2007. </w:t>
                            </w:r>
                            <w:hyperlink r:id="rId22" w:history="1">
                              <w:r w:rsidRPr="00C75EB7">
                                <w:rPr>
                                  <w:rStyle w:val="Hyperlink"/>
                                  <w:rFonts w:ascii="Arial" w:hAnsi="Arial" w:cs="Arial"/>
                                  <w:color w:val="FFFFFF" w:themeColor="background1"/>
                                  <w:sz w:val="56"/>
                                  <w:szCs w:val="56"/>
                                  <w:lang w:val="en-US"/>
                                </w:rPr>
                                <w:t>http://www.wri.org/publication/the-next-4-billion</w:t>
                              </w:r>
                            </w:hyperlink>
                          </w:p>
                          <w:p w14:paraId="44ED664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27A47A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Hannan, Michael T. y John Freeman.</w:t>
                            </w:r>
                            <w:proofErr w:type="gramEnd"/>
                            <w:r w:rsidRPr="00C75EB7">
                              <w:rPr>
                                <w:rFonts w:ascii="Arial" w:hAnsi="Arial" w:cs="Arial"/>
                                <w:color w:val="FFFFFF" w:themeColor="background1"/>
                                <w:sz w:val="56"/>
                                <w:szCs w:val="56"/>
                                <w:lang w:val="en-US"/>
                              </w:rPr>
                              <w:t xml:space="preserve"> Organizational Ecology. Cambridge, MA: Harvard University Press, 1989.</w:t>
                            </w:r>
                          </w:p>
                          <w:p w14:paraId="081AB30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035398B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Hart, Stuart y Clayton Christensen.</w:t>
                            </w:r>
                            <w:proofErr w:type="gramEnd"/>
                            <w:r w:rsidRPr="00C75EB7">
                              <w:rPr>
                                <w:rFonts w:ascii="Arial" w:hAnsi="Arial" w:cs="Arial"/>
                                <w:color w:val="FFFFFF" w:themeColor="background1"/>
                                <w:sz w:val="56"/>
                                <w:szCs w:val="56"/>
                                <w:lang w:val="en-US"/>
                              </w:rPr>
                              <w:t xml:space="preserve"> “The Great Leap: Driving Innovation from the Base of the Pyramid.” MIT/Sloan Management Review 44, nro. </w:t>
                            </w:r>
                            <w:proofErr w:type="gramStart"/>
                            <w:r w:rsidRPr="00C75EB7">
                              <w:rPr>
                                <w:rFonts w:ascii="Arial" w:hAnsi="Arial" w:cs="Arial"/>
                                <w:color w:val="FFFFFF" w:themeColor="background1"/>
                                <w:sz w:val="56"/>
                                <w:szCs w:val="56"/>
                                <w:lang w:val="en-US"/>
                              </w:rPr>
                              <w:t>1 (2002).</w:t>
                            </w:r>
                            <w:proofErr w:type="gramEnd"/>
                            <w:r w:rsidRPr="00C75EB7">
                              <w:rPr>
                                <w:rFonts w:ascii="Arial" w:hAnsi="Arial" w:cs="Arial"/>
                                <w:color w:val="FFFFFF" w:themeColor="background1"/>
                                <w:sz w:val="56"/>
                                <w:szCs w:val="56"/>
                                <w:lang w:val="en-US"/>
                              </w:rPr>
                              <w:t xml:space="preserve"> </w:t>
                            </w:r>
                            <w:hyperlink r:id="rId23" w:history="1">
                              <w:r w:rsidRPr="00C75EB7">
                                <w:rPr>
                                  <w:rStyle w:val="Hyperlink"/>
                                  <w:rFonts w:ascii="Arial" w:hAnsi="Arial" w:cs="Arial"/>
                                  <w:color w:val="FFFFFF" w:themeColor="background1"/>
                                  <w:sz w:val="56"/>
                                  <w:szCs w:val="56"/>
                                  <w:lang w:val="en-US"/>
                                </w:rPr>
                                <w:t>http://www.stuartlhart.com/sites/stuartlhart.com/files/Hart%20%20Christensen%20Sloan%202003_0.pdf</w:t>
                              </w:r>
                            </w:hyperlink>
                          </w:p>
                          <w:p w14:paraId="3917928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85C44C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Hart, Stuart y Ted London.</w:t>
                            </w:r>
                            <w:proofErr w:type="gramEnd"/>
                            <w:r w:rsidRPr="00C75EB7">
                              <w:rPr>
                                <w:rFonts w:ascii="Arial" w:hAnsi="Arial" w:cs="Arial"/>
                                <w:color w:val="FFFFFF" w:themeColor="background1"/>
                                <w:sz w:val="56"/>
                                <w:szCs w:val="56"/>
                                <w:lang w:val="en-US"/>
                              </w:rPr>
                              <w:t xml:space="preserve"> “Developing Native Capability: What Multinational Corporations Can Learn from the Base of the Pyramid.” </w:t>
                            </w:r>
                            <w:r w:rsidRPr="00C75EB7">
                              <w:rPr>
                                <w:rFonts w:ascii="Arial" w:hAnsi="Arial" w:cs="Arial"/>
                                <w:color w:val="FFFFFF" w:themeColor="background1"/>
                                <w:sz w:val="56"/>
                                <w:szCs w:val="56"/>
                              </w:rPr>
                              <w:t>Stanford Social Innovation Review (2005): 28–33.</w:t>
                            </w:r>
                          </w:p>
                          <w:p w14:paraId="66C7053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7C2106E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Karnani, Aneel. “The Mirage of Marketing at the Bottom of the Pyramid.” California Management Review 49, nro. </w:t>
                            </w:r>
                            <w:proofErr w:type="gramStart"/>
                            <w:r w:rsidRPr="00C75EB7">
                              <w:rPr>
                                <w:rFonts w:ascii="Arial" w:hAnsi="Arial" w:cs="Arial"/>
                                <w:color w:val="FFFFFF" w:themeColor="background1"/>
                                <w:sz w:val="56"/>
                                <w:szCs w:val="56"/>
                                <w:lang w:val="en-US"/>
                              </w:rPr>
                              <w:t>4 (verano de 2007).</w:t>
                            </w:r>
                            <w:proofErr w:type="gramEnd"/>
                          </w:p>
                          <w:p w14:paraId="1A1264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 “Fortune at the Bottom of the Pyramid: A Mirage.” </w:t>
                            </w:r>
                            <w:proofErr w:type="gramStart"/>
                            <w:r w:rsidRPr="00C75EB7">
                              <w:rPr>
                                <w:rFonts w:ascii="Arial" w:hAnsi="Arial" w:cs="Arial"/>
                                <w:color w:val="FFFFFF" w:themeColor="background1"/>
                                <w:sz w:val="56"/>
                                <w:szCs w:val="56"/>
                                <w:lang w:val="en-US"/>
                              </w:rPr>
                              <w:t>Documento de trabajo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1035, Universidad de Michigan, Stephen M. Ross School of Business, 2006.</w:t>
                            </w:r>
                            <w:proofErr w:type="gramEnd"/>
                          </w:p>
                          <w:p w14:paraId="4E9AA64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DEAFDD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Kerlin, Janelle A. “Social Enterprise in the United States and Europe: Understanding and Learning from the Differences.” </w:t>
                            </w:r>
                            <w:r w:rsidRPr="00C75EB7">
                              <w:rPr>
                                <w:rFonts w:ascii="Arial" w:hAnsi="Arial" w:cs="Arial"/>
                                <w:color w:val="FFFFFF" w:themeColor="background1"/>
                                <w:sz w:val="56"/>
                                <w:szCs w:val="56"/>
                              </w:rPr>
                              <w:t>Voluntas 17, (2006): 247–63.</w:t>
                            </w:r>
                          </w:p>
                          <w:p w14:paraId="5B19E6F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BBE903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Leonard, Herman B. “When Is Doing Business with the Poor Good – for the Poor? A Household and National Income Accounting Approach.” En Business Solutions for the Global Poor: Creating Economic and Social Value, editado por Kasturi Rangan, John Quelch, </w:t>
                            </w:r>
                          </w:p>
                          <w:p w14:paraId="28AF327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430110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Gustavo Herrero y Brooke Barton.</w:t>
                            </w:r>
                            <w:proofErr w:type="gramEnd"/>
                            <w:r w:rsidRPr="00C75EB7">
                              <w:rPr>
                                <w:rFonts w:ascii="Arial" w:hAnsi="Arial" w:cs="Arial"/>
                                <w:color w:val="FFFFFF" w:themeColor="background1"/>
                                <w:sz w:val="56"/>
                                <w:szCs w:val="56"/>
                                <w:lang w:val="en-US"/>
                              </w:rPr>
                              <w:t xml:space="preserve"> San Francisco, CA: Jossey-Bass, 2007.</w:t>
                            </w:r>
                          </w:p>
                          <w:p w14:paraId="230A989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Lodge, George C. “The Corporate Key: Using Big Business to Fight Global Poverty.” </w:t>
                            </w:r>
                            <w:proofErr w:type="gramStart"/>
                            <w:r w:rsidRPr="00C75EB7">
                              <w:rPr>
                                <w:rFonts w:ascii="Arial" w:hAnsi="Arial" w:cs="Arial"/>
                                <w:color w:val="FFFFFF" w:themeColor="background1"/>
                                <w:sz w:val="56"/>
                                <w:szCs w:val="56"/>
                                <w:lang w:val="en-US"/>
                              </w:rPr>
                              <w:t>Foreign Affairs 81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4 (2002): 13–18.</w:t>
                            </w:r>
                            <w:proofErr w:type="gramEnd"/>
                          </w:p>
                          <w:p w14:paraId="688D425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0E36906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London, Ted. “The Base-of-the-Pyramid Perspective: A New Approach to Poverty Alleviation.” </w:t>
                            </w:r>
                            <w:proofErr w:type="gramStart"/>
                            <w:r w:rsidRPr="00C75EB7">
                              <w:rPr>
                                <w:rFonts w:ascii="Arial" w:hAnsi="Arial" w:cs="Arial"/>
                                <w:color w:val="FFFFFF" w:themeColor="background1"/>
                                <w:sz w:val="56"/>
                                <w:szCs w:val="56"/>
                                <w:lang w:val="en-US"/>
                              </w:rPr>
                              <w:t>Documento de trabajo, William Davidson Institute/Stephen M. Ross School of Business, 2008.</w:t>
                            </w:r>
                            <w:proofErr w:type="gramEnd"/>
                          </w:p>
                          <w:p w14:paraId="5E4F350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FB25DC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London, Ted y Stuart L. Hart.</w:t>
                            </w:r>
                            <w:proofErr w:type="gramEnd"/>
                            <w:r w:rsidRPr="00C75EB7">
                              <w:rPr>
                                <w:rFonts w:ascii="Arial" w:hAnsi="Arial" w:cs="Arial"/>
                                <w:color w:val="FFFFFF" w:themeColor="background1"/>
                                <w:sz w:val="56"/>
                                <w:szCs w:val="56"/>
                                <w:lang w:val="en-US"/>
                              </w:rPr>
                              <w:t xml:space="preserve"> “Reinventing Strategies for Emerging Markets: Beyond the Transnational Model.” </w:t>
                            </w:r>
                            <w:proofErr w:type="gramStart"/>
                            <w:r w:rsidRPr="00C75EB7">
                              <w:rPr>
                                <w:rFonts w:ascii="Arial" w:hAnsi="Arial" w:cs="Arial"/>
                                <w:color w:val="FFFFFF" w:themeColor="background1"/>
                                <w:sz w:val="56"/>
                                <w:szCs w:val="56"/>
                                <w:lang w:val="en-US"/>
                              </w:rPr>
                              <w:t>Journal of International Business Studies 35 (2004): 350–70.</w:t>
                            </w:r>
                            <w:proofErr w:type="gramEnd"/>
                          </w:p>
                          <w:p w14:paraId="18C48E6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7971F7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Mellor, John W. “Faster, More Equitable Growth—The Relation Between Growth in Agriculture and Poverty Reduction Agricultural Policy.” </w:t>
                            </w:r>
                            <w:proofErr w:type="gramStart"/>
                            <w:r w:rsidRPr="00C75EB7">
                              <w:rPr>
                                <w:rFonts w:ascii="Arial" w:hAnsi="Arial" w:cs="Arial"/>
                                <w:color w:val="FFFFFF" w:themeColor="background1"/>
                                <w:sz w:val="56"/>
                                <w:szCs w:val="56"/>
                                <w:lang w:val="en-US"/>
                              </w:rPr>
                              <w:t>En Development Project Research Report.</w:t>
                            </w:r>
                            <w:proofErr w:type="gramEnd"/>
                            <w:r w:rsidRPr="00C75EB7">
                              <w:rPr>
                                <w:rFonts w:ascii="Arial" w:hAnsi="Arial" w:cs="Arial"/>
                                <w:color w:val="FFFFFF" w:themeColor="background1"/>
                                <w:sz w:val="56"/>
                                <w:szCs w:val="56"/>
                                <w:lang w:val="en-US"/>
                              </w:rPr>
                              <w:t xml:space="preserve"> Cambridge, MA: Abt Associates Inc., octubre de 1999.</w:t>
                            </w:r>
                          </w:p>
                          <w:p w14:paraId="0B9E03B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801A99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Milstein, M. B., Ted London y Stuart Hart. “Revolutionary Routines: Capturing the Opportunity for Creating a More Inclusive Capitalism.” En Handbook of Cooperative Colaboration: New Designs and Dynamics, editado por S. K. Piderit, R. E. Fry y D. L. Cooperrider. </w:t>
                            </w:r>
                            <w:r w:rsidRPr="00C75EB7">
                              <w:rPr>
                                <w:rFonts w:ascii="Arial" w:hAnsi="Arial" w:cs="Arial"/>
                                <w:color w:val="FFFFFF" w:themeColor="background1"/>
                                <w:sz w:val="56"/>
                                <w:szCs w:val="56"/>
                              </w:rPr>
                              <w:t>Stanford, CA: Stanford University Press, 2007.</w:t>
                            </w:r>
                          </w:p>
                          <w:p w14:paraId="02D420D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EFB70F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Moore, James F. The Death of Competition: Leadership &amp; Strategy in the Age of Business Ecosystems. Nueva York: HarperBusiness, 1996.</w:t>
                            </w:r>
                          </w:p>
                          <w:p w14:paraId="2F290C9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4D6014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Porter, Michael E. </w:t>
                            </w:r>
                            <w:proofErr w:type="gramStart"/>
                            <w:r w:rsidRPr="00C75EB7">
                              <w:rPr>
                                <w:rFonts w:ascii="Arial" w:hAnsi="Arial" w:cs="Arial"/>
                                <w:color w:val="FFFFFF" w:themeColor="background1"/>
                                <w:sz w:val="56"/>
                                <w:szCs w:val="56"/>
                                <w:lang w:val="en-US"/>
                              </w:rPr>
                              <w:t>The Competitive Advantage of Nations.</w:t>
                            </w:r>
                            <w:proofErr w:type="gramEnd"/>
                            <w:r w:rsidRPr="00C75EB7">
                              <w:rPr>
                                <w:rFonts w:ascii="Arial" w:hAnsi="Arial" w:cs="Arial"/>
                                <w:color w:val="FFFFFF" w:themeColor="background1"/>
                                <w:sz w:val="56"/>
                                <w:szCs w:val="56"/>
                                <w:lang w:val="en-US"/>
                              </w:rPr>
                              <w:t xml:space="preserve"> Nueva York: The Free Press, 1990.</w:t>
                            </w:r>
                          </w:p>
                          <w:p w14:paraId="30FC18F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256DEE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Prahalad, C. K.</w:t>
                            </w:r>
                            <w:proofErr w:type="gramEnd"/>
                            <w:r w:rsidRPr="00C75EB7">
                              <w:rPr>
                                <w:rFonts w:ascii="Arial" w:hAnsi="Arial" w:cs="Arial"/>
                                <w:color w:val="FFFFFF" w:themeColor="background1"/>
                                <w:sz w:val="56"/>
                                <w:szCs w:val="56"/>
                                <w:lang w:val="en-US"/>
                              </w:rPr>
                              <w:t xml:space="preserve"> The Fortune at the Bottom of the Pyramid: Eradicating Poverty through Profits. Upper Saddle River, NJ: Wharton School Publishing, 2005.</w:t>
                            </w:r>
                          </w:p>
                          <w:p w14:paraId="69B2F51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 “The Innovation Sandbox.” Strategy + Business, 2005, 1–10. . “Why Selling to the Poor Makes for Good Business.” </w:t>
                            </w:r>
                            <w:r w:rsidRPr="00C75EB7">
                              <w:rPr>
                                <w:rFonts w:ascii="Arial" w:hAnsi="Arial" w:cs="Arial"/>
                                <w:color w:val="FFFFFF" w:themeColor="background1"/>
                                <w:sz w:val="56"/>
                                <w:szCs w:val="56"/>
                              </w:rPr>
                              <w:t xml:space="preserve">Fortune, 15 de noviembre de 2004, 70–72. Prahalad, C. K. y Allen Hammond. </w:t>
                            </w:r>
                            <w:r w:rsidRPr="00C75EB7">
                              <w:rPr>
                                <w:rFonts w:ascii="Arial" w:hAnsi="Arial" w:cs="Arial"/>
                                <w:color w:val="FFFFFF" w:themeColor="background1"/>
                                <w:sz w:val="56"/>
                                <w:szCs w:val="56"/>
                                <w:lang w:val="en-US"/>
                              </w:rPr>
                              <w:t>“Serving the World’s Poor, Profitably.” Harvard</w:t>
                            </w:r>
                          </w:p>
                          <w:p w14:paraId="1171B97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2E4EDF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Business Review (2002).</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Prahalad, C. K. y Stuart Hart.</w:t>
                            </w:r>
                            <w:proofErr w:type="gramEnd"/>
                            <w:r w:rsidRPr="00C75EB7">
                              <w:rPr>
                                <w:rFonts w:ascii="Arial" w:hAnsi="Arial" w:cs="Arial"/>
                                <w:color w:val="FFFFFF" w:themeColor="background1"/>
                                <w:sz w:val="56"/>
                                <w:szCs w:val="56"/>
                                <w:lang w:val="en-US"/>
                              </w:rPr>
                              <w:t xml:space="preserve"> “The Fortune at the Bottom of the Pyramid.” </w:t>
                            </w:r>
                            <w:r w:rsidRPr="00C75EB7">
                              <w:rPr>
                                <w:rFonts w:ascii="Arial" w:hAnsi="Arial" w:cs="Arial"/>
                                <w:color w:val="FFFFFF" w:themeColor="background1"/>
                                <w:sz w:val="56"/>
                                <w:szCs w:val="56"/>
                              </w:rPr>
                              <w:t xml:space="preserve">Strategy+ Business 1, nro. 26 (2002). </w:t>
                            </w:r>
                          </w:p>
                          <w:p w14:paraId="3389C72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7A9829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Reficco, Ezequiel y Patricia Márquez. </w:t>
                            </w:r>
                            <w:r w:rsidRPr="00C75EB7">
                              <w:rPr>
                                <w:rFonts w:ascii="Arial" w:hAnsi="Arial" w:cs="Arial"/>
                                <w:color w:val="FFFFFF" w:themeColor="background1"/>
                                <w:sz w:val="56"/>
                                <w:szCs w:val="56"/>
                                <w:lang w:val="en-US"/>
                              </w:rPr>
                              <w:t xml:space="preserve">“Socially Inclusive Networks for Building BOP Markets.” </w:t>
                            </w:r>
                            <w:r w:rsidRPr="00C75EB7">
                              <w:rPr>
                                <w:rFonts w:ascii="Arial" w:hAnsi="Arial" w:cs="Arial"/>
                                <w:color w:val="FFFFFF" w:themeColor="background1"/>
                                <w:sz w:val="56"/>
                                <w:szCs w:val="56"/>
                              </w:rPr>
                              <w:t>Documento de trabajo, School of Business Administration, Universidad de San Diego, octubre de 2007.</w:t>
                            </w:r>
                          </w:p>
                          <w:p w14:paraId="4D031AB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 “Inclusive Networks for Building BOP Markets.” </w:t>
                            </w:r>
                            <w:r w:rsidRPr="00C75EB7">
                              <w:rPr>
                                <w:rFonts w:ascii="Arial" w:hAnsi="Arial" w:cs="Arial"/>
                                <w:color w:val="FFFFFF" w:themeColor="background1"/>
                                <w:sz w:val="56"/>
                                <w:szCs w:val="56"/>
                              </w:rPr>
                              <w:t>Business &amp; Society (de próxima publicación).</w:t>
                            </w:r>
                          </w:p>
                          <w:p w14:paraId="0B24CC1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DB6D15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Rufín, Carlos. “The Role of Government: LIS Market Initiatives and the Public Sector.” </w:t>
                            </w:r>
                            <w:r w:rsidRPr="00C75EB7">
                              <w:rPr>
                                <w:rFonts w:ascii="Arial" w:hAnsi="Arial" w:cs="Arial"/>
                                <w:color w:val="FFFFFF" w:themeColor="background1"/>
                                <w:sz w:val="56"/>
                                <w:szCs w:val="56"/>
                              </w:rPr>
                              <w:t>ReVista: Harvard Review of Latin America (otoño de 2006): 45–46.</w:t>
                            </w:r>
                          </w:p>
                          <w:p w14:paraId="0989026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682D9AB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Rufín, Carlos y Luis Fernando Arboleda. </w:t>
                            </w:r>
                            <w:r w:rsidRPr="00C75EB7">
                              <w:rPr>
                                <w:rFonts w:ascii="Arial" w:hAnsi="Arial" w:cs="Arial"/>
                                <w:color w:val="FFFFFF" w:themeColor="background1"/>
                                <w:sz w:val="56"/>
                                <w:szCs w:val="56"/>
                                <w:lang w:val="en-US"/>
                              </w:rPr>
                              <w:t xml:space="preserve">“Utilities and the Poor: A Story from Colombia.” En Business Solutions for the Global Poor: Creating Economic and Social Value, editado por </w:t>
                            </w:r>
                          </w:p>
                          <w:p w14:paraId="3895E10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8E7D03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Kasturi Rangan, John Quelch, Gustavo Herrero y Brooke Barton. </w:t>
                            </w:r>
                            <w:r w:rsidRPr="00C75EB7">
                              <w:rPr>
                                <w:rFonts w:ascii="Arial" w:hAnsi="Arial" w:cs="Arial"/>
                                <w:color w:val="FFFFFF" w:themeColor="background1"/>
                                <w:sz w:val="56"/>
                                <w:szCs w:val="56"/>
                              </w:rPr>
                              <w:t>San Francisco, CA: Jossey-Bass, 2007.</w:t>
                            </w:r>
                          </w:p>
                          <w:p w14:paraId="202BD10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BFEEDD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Rufín, Carlos y Miguel Rivera-Santos. </w:t>
                            </w:r>
                            <w:r w:rsidRPr="00C75EB7">
                              <w:rPr>
                                <w:rFonts w:ascii="Arial" w:hAnsi="Arial" w:cs="Arial"/>
                                <w:color w:val="FFFFFF" w:themeColor="background1"/>
                                <w:sz w:val="56"/>
                                <w:szCs w:val="56"/>
                                <w:lang w:val="en-US"/>
                              </w:rPr>
                              <w:t xml:space="preserve">“Global Village vs. Small Town: Understanding Networks at the Base of the Pyramid.” </w:t>
                            </w:r>
                            <w:proofErr w:type="gramStart"/>
                            <w:r w:rsidRPr="00C75EB7">
                              <w:rPr>
                                <w:rFonts w:ascii="Arial" w:hAnsi="Arial" w:cs="Arial"/>
                                <w:color w:val="FFFFFF" w:themeColor="background1"/>
                                <w:sz w:val="56"/>
                                <w:szCs w:val="56"/>
                                <w:lang w:val="en-US"/>
                              </w:rPr>
                              <w:t>Documento inédito, 2008.</w:t>
                            </w:r>
                            <w:proofErr w:type="gramEnd"/>
                          </w:p>
                          <w:p w14:paraId="0DF6DAA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Salamon, Lester M. “The Rise of the Nonprofit Sector.” </w:t>
                            </w:r>
                            <w:proofErr w:type="gramStart"/>
                            <w:r w:rsidRPr="00C75EB7">
                              <w:rPr>
                                <w:rFonts w:ascii="Arial" w:hAnsi="Arial" w:cs="Arial"/>
                                <w:color w:val="FFFFFF" w:themeColor="background1"/>
                                <w:sz w:val="56"/>
                                <w:szCs w:val="56"/>
                                <w:lang w:val="en-US"/>
                              </w:rPr>
                              <w:t>Foreign Affairs 73,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4 (1994): 109–22.</w:t>
                            </w:r>
                            <w:proofErr w:type="gramEnd"/>
                          </w:p>
                          <w:p w14:paraId="522DE23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54C841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Scherer, A. G. y G. Palazzo.“Toward a Political Conception of Corporate Responsibility: Business and Society Seen from a Habermasian Perspective.” </w:t>
                            </w:r>
                            <w:proofErr w:type="gramStart"/>
                            <w:r w:rsidRPr="00C75EB7">
                              <w:rPr>
                                <w:rFonts w:ascii="Arial" w:hAnsi="Arial" w:cs="Arial"/>
                                <w:color w:val="FFFFFF" w:themeColor="background1"/>
                                <w:sz w:val="56"/>
                                <w:szCs w:val="56"/>
                                <w:lang w:val="en-US"/>
                              </w:rPr>
                              <w:t>Academy of Management Review 32,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4 (2007): 1096–120.</w:t>
                            </w:r>
                            <w:proofErr w:type="gramEnd"/>
                          </w:p>
                          <w:p w14:paraId="237448F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3F1FE0B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4FC435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SEKN (Red de Conocimientos sobre Emprendimientos Sociales). Gestión efectiva de emprendimientos sociales: Lecciones extraídas de empresas y organizaciones de la sociedad civil en Iberoamérica. </w:t>
                            </w:r>
                            <w:r w:rsidRPr="00C75EB7">
                              <w:rPr>
                                <w:rFonts w:ascii="Arial" w:hAnsi="Arial" w:cs="Arial"/>
                                <w:color w:val="FFFFFF" w:themeColor="background1"/>
                                <w:sz w:val="56"/>
                                <w:szCs w:val="56"/>
                                <w:lang w:val="en-US"/>
                              </w:rPr>
                              <w:t>Cambridge, MA: Harvard University Press con el David Rockefeller Center for Latin American Studies, 2006.</w:t>
                            </w:r>
                          </w:p>
                          <w:p w14:paraId="1CB0344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2ED343B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Sen, Amartya Kumar. </w:t>
                            </w:r>
                            <w:proofErr w:type="gramStart"/>
                            <w:r w:rsidRPr="00C75EB7">
                              <w:rPr>
                                <w:rFonts w:ascii="Arial" w:hAnsi="Arial" w:cs="Arial"/>
                                <w:color w:val="FFFFFF" w:themeColor="background1"/>
                                <w:sz w:val="56"/>
                                <w:szCs w:val="56"/>
                                <w:lang w:val="en-US"/>
                              </w:rPr>
                              <w:t>Development as Freedom.</w:t>
                            </w:r>
                            <w:proofErr w:type="gramEnd"/>
                            <w:r w:rsidRPr="00C75EB7">
                              <w:rPr>
                                <w:rFonts w:ascii="Arial" w:hAnsi="Arial" w:cs="Arial"/>
                                <w:color w:val="FFFFFF" w:themeColor="background1"/>
                                <w:sz w:val="56"/>
                                <w:szCs w:val="56"/>
                                <w:lang w:val="en-US"/>
                              </w:rPr>
                              <w:t xml:space="preserve"> Nueva York: Oxford University Press, 1999.</w:t>
                            </w:r>
                          </w:p>
                          <w:p w14:paraId="79D8AF5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Sharma, Sanjay y Frances Westley.</w:t>
                            </w:r>
                            <w:proofErr w:type="gramEnd"/>
                            <w:r w:rsidRPr="00C75EB7">
                              <w:rPr>
                                <w:rFonts w:ascii="Arial" w:hAnsi="Arial" w:cs="Arial"/>
                                <w:color w:val="FFFFFF" w:themeColor="background1"/>
                                <w:sz w:val="56"/>
                                <w:szCs w:val="56"/>
                                <w:lang w:val="en-US"/>
                              </w:rPr>
                              <w:t xml:space="preserve"> “Strategic Bridging: A Role for the Multinational Corporation in Third World Development.” </w:t>
                            </w:r>
                            <w:proofErr w:type="gramStart"/>
                            <w:r w:rsidRPr="00C75EB7">
                              <w:rPr>
                                <w:rFonts w:ascii="Arial" w:hAnsi="Arial" w:cs="Arial"/>
                                <w:color w:val="FFFFFF" w:themeColor="background1"/>
                                <w:sz w:val="56"/>
                                <w:szCs w:val="56"/>
                                <w:lang w:val="en-US"/>
                              </w:rPr>
                              <w:t>Journal of Applied Behavioral Sciences 30,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4 (1994): 458–76.</w:t>
                            </w:r>
                            <w:proofErr w:type="gramEnd"/>
                          </w:p>
                          <w:p w14:paraId="08CBBF3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0B72E7A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Simanis, Erik y Stuart Hart.</w:t>
                            </w:r>
                            <w:proofErr w:type="gramEnd"/>
                            <w:r w:rsidRPr="00C75EB7">
                              <w:rPr>
                                <w:rFonts w:ascii="Arial" w:hAnsi="Arial" w:cs="Arial"/>
                                <w:color w:val="FFFFFF" w:themeColor="background1"/>
                                <w:sz w:val="56"/>
                                <w:szCs w:val="56"/>
                                <w:lang w:val="en-US"/>
                              </w:rPr>
                              <w:t xml:space="preserve"> “The Base of the Pyramid Protocol: Toward Next Generation BOP Strategy” (2008), http://www.johnson.cornell.edu/sge/docs/ BoP_Protocol_2nd_ed.pdf.</w:t>
                            </w:r>
                          </w:p>
                          <w:p w14:paraId="522E19F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 “Beyond Selling to the Poor: Building Business Intimacy through Embedded Innovation.” </w:t>
                            </w:r>
                            <w:r w:rsidRPr="00C75EB7">
                              <w:rPr>
                                <w:rFonts w:ascii="Arial" w:hAnsi="Arial" w:cs="Arial"/>
                                <w:color w:val="FFFFFF" w:themeColor="background1"/>
                                <w:sz w:val="56"/>
                                <w:szCs w:val="56"/>
                              </w:rPr>
                              <w:t>Ithaca: documento de trabajo, Universidad de Cornell, 2008.</w:t>
                            </w:r>
                          </w:p>
                          <w:p w14:paraId="4DA6A47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D01637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Simanis, Erik, Stuart Hart, Gordon Enk, Duncan Duke, et al. “Strategic Initiatives at the Base of the Pyramid: A Protocol for Mutual Value Creation.” </w:t>
                            </w:r>
                            <w:proofErr w:type="gramStart"/>
                            <w:r w:rsidRPr="00C75EB7">
                              <w:rPr>
                                <w:rFonts w:ascii="Arial" w:hAnsi="Arial" w:cs="Arial"/>
                                <w:color w:val="FFFFFF" w:themeColor="background1"/>
                                <w:sz w:val="56"/>
                                <w:szCs w:val="56"/>
                                <w:lang w:val="en-US"/>
                              </w:rPr>
                              <w:t>Base of the Pyramid Protocol Workshop Group, Wingspread Conference Center.</w:t>
                            </w:r>
                            <w:proofErr w:type="gramEnd"/>
                            <w:r w:rsidRPr="00C75EB7">
                              <w:rPr>
                                <w:rFonts w:ascii="Arial" w:hAnsi="Arial" w:cs="Arial"/>
                                <w:color w:val="FFFFFF" w:themeColor="background1"/>
                                <w:sz w:val="56"/>
                                <w:szCs w:val="56"/>
                                <w:lang w:val="en-US"/>
                              </w:rPr>
                              <w:t xml:space="preserve"> </w:t>
                            </w:r>
                            <w:r w:rsidRPr="00C75EB7">
                              <w:rPr>
                                <w:rFonts w:ascii="Arial" w:hAnsi="Arial" w:cs="Arial"/>
                                <w:color w:val="FFFFFF" w:themeColor="background1"/>
                                <w:sz w:val="56"/>
                                <w:szCs w:val="56"/>
                              </w:rPr>
                              <w:t>Racine, WI, 2005.</w:t>
                            </w:r>
                          </w:p>
                          <w:p w14:paraId="0951C97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21A9952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SNV. “A Firm-Level Approach to Majority Market Business: Private Sector Mapping (PSM) Project Final Report.” </w:t>
                            </w:r>
                            <w:r w:rsidRPr="00C75EB7">
                              <w:rPr>
                                <w:rFonts w:ascii="Arial" w:hAnsi="Arial" w:cs="Arial"/>
                                <w:color w:val="FFFFFF" w:themeColor="background1"/>
                                <w:sz w:val="56"/>
                                <w:szCs w:val="56"/>
                              </w:rPr>
                              <w:t>Washington, DC: SNV (Organización de desarrollo internacional de los Países Bajos) y Banco Interamericano de Desarrollo, 2008.</w:t>
                            </w:r>
                          </w:p>
                          <w:p w14:paraId="01CC776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C0D69A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SNV &amp; World Business Council for Sustainable Development.</w:t>
                            </w:r>
                            <w:proofErr w:type="gramEnd"/>
                            <w:r w:rsidRPr="00C75EB7">
                              <w:rPr>
                                <w:rFonts w:ascii="Arial" w:hAnsi="Arial" w:cs="Arial"/>
                                <w:color w:val="FFFFFF" w:themeColor="background1"/>
                                <w:sz w:val="56"/>
                                <w:szCs w:val="56"/>
                                <w:lang w:val="en-US"/>
                              </w:rPr>
                              <w:t xml:space="preserve"> “Inclusive Business: Profitable Business for Successful Development” (2008), http://wbcsd.typepad. </w:t>
                            </w:r>
                            <w:proofErr w:type="gramStart"/>
                            <w:r w:rsidRPr="00C75EB7">
                              <w:rPr>
                                <w:rFonts w:ascii="Arial" w:hAnsi="Arial" w:cs="Arial"/>
                                <w:color w:val="FFFFFF" w:themeColor="background1"/>
                                <w:sz w:val="56"/>
                                <w:szCs w:val="56"/>
                                <w:lang w:val="en-US"/>
                              </w:rPr>
                              <w:t>com</w:t>
                            </w:r>
                            <w:proofErr w:type="gramEnd"/>
                            <w:r w:rsidRPr="00C75EB7">
                              <w:rPr>
                                <w:rFonts w:ascii="Arial" w:hAnsi="Arial" w:cs="Arial"/>
                                <w:color w:val="FFFFFF" w:themeColor="background1"/>
                                <w:sz w:val="56"/>
                                <w:szCs w:val="56"/>
                                <w:lang w:val="en-US"/>
                              </w:rPr>
                              <w:t>/wbcsdsnv/wbcsd_snv_alliance_brochure_march_08_web.pdf.</w:t>
                            </w:r>
                          </w:p>
                          <w:p w14:paraId="499B379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2AF5E8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Sullivan, Nicholas. You Can Hear Me Now: How Microloans and Cell Phones Are Connecting the World’s Poor to the Global Economy. </w:t>
                            </w:r>
                            <w:r w:rsidRPr="00C75EB7">
                              <w:rPr>
                                <w:rFonts w:ascii="Arial" w:hAnsi="Arial" w:cs="Arial"/>
                                <w:color w:val="FFFFFF" w:themeColor="background1"/>
                                <w:sz w:val="56"/>
                                <w:szCs w:val="56"/>
                              </w:rPr>
                              <w:t>San Francisco, CA: Jossey Bass, 2007.</w:t>
                            </w:r>
                          </w:p>
                          <w:p w14:paraId="7CC9A1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Tencati, Antonio y Laszlo Zsolnai. </w:t>
                            </w:r>
                            <w:r w:rsidRPr="00C75EB7">
                              <w:rPr>
                                <w:rFonts w:ascii="Arial" w:hAnsi="Arial" w:cs="Arial"/>
                                <w:color w:val="FFFFFF" w:themeColor="background1"/>
                                <w:sz w:val="56"/>
                                <w:szCs w:val="56"/>
                                <w:lang w:val="en-US"/>
                              </w:rPr>
                              <w:t xml:space="preserve">“The Collaborative Enterprise.” </w:t>
                            </w:r>
                            <w:proofErr w:type="gramStart"/>
                            <w:r w:rsidRPr="00C75EB7">
                              <w:rPr>
                                <w:rFonts w:ascii="Arial" w:hAnsi="Arial" w:cs="Arial"/>
                                <w:color w:val="FFFFFF" w:themeColor="background1"/>
                                <w:sz w:val="56"/>
                                <w:szCs w:val="56"/>
                                <w:lang w:val="en-US"/>
                              </w:rPr>
                              <w:t>Journal of Business Ethics (2009): 367–76.</w:t>
                            </w:r>
                            <w:proofErr w:type="gramEnd"/>
                          </w:p>
                          <w:p w14:paraId="5E3A2B0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789144A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The Economist. “The End of Cheap Food.” </w:t>
                            </w:r>
                            <w:r w:rsidRPr="00C75EB7">
                              <w:rPr>
                                <w:rFonts w:ascii="Arial" w:hAnsi="Arial" w:cs="Arial"/>
                                <w:color w:val="FFFFFF" w:themeColor="background1"/>
                                <w:sz w:val="56"/>
                                <w:szCs w:val="56"/>
                              </w:rPr>
                              <w:t>The Economist, 8 de diciembre de 2007. Todorov, Tzvetan. La vida en común. Ensayo de antropología general. Madrid:</w:t>
                            </w:r>
                          </w:p>
                          <w:p w14:paraId="7803420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Taurus, 1995.</w:t>
                            </w:r>
                          </w:p>
                          <w:p w14:paraId="30083F7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776772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Trujillo Cárdenas, Diana y Roberto Gutiérrez. “The Base of the Pyramid, Citizenship above Consumerism: Colombia’s Colcerámica.” ReVista: Harvard Review of Latin America (otoño de 2006).</w:t>
                            </w:r>
                          </w:p>
                          <w:p w14:paraId="26C5768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061A3D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USAID. “Innovative Approaches to Slum Electrification.” Washington, DC: Bureau for Economic Growth, Agriculture and Trade, diciembre de 2004.</w:t>
                            </w:r>
                          </w:p>
                          <w:p w14:paraId="3CD8284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B8F1C1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Weiser, John, Michele Kahane, Steve Rochlin y Jessica Landis. Untapped: Creating Value in Underserved Markets. San Francisco, CA: Berrett-Koehler Publishers, 2006.</w:t>
                            </w:r>
                          </w:p>
                          <w:p w14:paraId="4C34975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89E8BF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Westley, Frances y Harrie Vredenburg.</w:t>
                            </w:r>
                            <w:proofErr w:type="gramEnd"/>
                            <w:r w:rsidRPr="00C75EB7">
                              <w:rPr>
                                <w:rFonts w:ascii="Arial" w:hAnsi="Arial" w:cs="Arial"/>
                                <w:color w:val="FFFFFF" w:themeColor="background1"/>
                                <w:sz w:val="56"/>
                                <w:szCs w:val="56"/>
                                <w:lang w:val="en-US"/>
                              </w:rPr>
                              <w:t xml:space="preserve"> “Strategic Bridging: The Collaboration between Environmentalists and Business in the Marketing of Green Products.” </w:t>
                            </w:r>
                            <w:proofErr w:type="gramStart"/>
                            <w:r w:rsidRPr="00C75EB7">
                              <w:rPr>
                                <w:rFonts w:ascii="Arial" w:hAnsi="Arial" w:cs="Arial"/>
                                <w:color w:val="FFFFFF" w:themeColor="background1"/>
                                <w:sz w:val="56"/>
                                <w:szCs w:val="56"/>
                                <w:lang w:val="en-US"/>
                              </w:rPr>
                              <w:t>Journal of Applied Behavioral Sciences 27,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1 (1991): 65–90.</w:t>
                            </w:r>
                            <w:proofErr w:type="gramEnd"/>
                          </w:p>
                          <w:p w14:paraId="156B844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8BD741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Wheeler, David, Kevin McKague, Jane Thompson, Rachel Davies, et al. “Creating Sustainable Local Enterprise Networks.” MIT/Sloan Review 47, nro. </w:t>
                            </w:r>
                            <w:proofErr w:type="gramStart"/>
                            <w:r w:rsidRPr="00C75EB7">
                              <w:rPr>
                                <w:rFonts w:ascii="Arial" w:hAnsi="Arial" w:cs="Arial"/>
                                <w:color w:val="FFFFFF" w:themeColor="background1"/>
                                <w:sz w:val="56"/>
                                <w:szCs w:val="56"/>
                                <w:lang w:val="en-US"/>
                              </w:rPr>
                              <w:t>1 (2005): 33–40.</w:t>
                            </w:r>
                            <w:proofErr w:type="gramEnd"/>
                          </w:p>
                          <w:p w14:paraId="771ADB2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C56A11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26DD5A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AAB392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5BC1E7B" w14:textId="77777777" w:rsidR="00D41FC4" w:rsidRPr="00C75EB7" w:rsidRDefault="00D41FC4" w:rsidP="00C75EB7">
                            <w:pPr>
                              <w:spacing w:line="360" w:lineRule="auto"/>
                              <w:ind w:left="360"/>
                              <w:jc w:val="both"/>
                              <w:rPr>
                                <w:rFonts w:ascii="Arial" w:hAnsi="Arial" w:cs="Arial"/>
                                <w:color w:val="FFFFFF" w:themeColor="background1"/>
                                <w:sz w:val="56"/>
                                <w:szCs w:val="56"/>
                              </w:rPr>
                            </w:pPr>
                          </w:p>
                          <w:p w14:paraId="3CEA1D97" w14:textId="77777777" w:rsidR="00D41FC4" w:rsidRPr="00C75EB7" w:rsidRDefault="00D41FC4" w:rsidP="00C75EB7">
                            <w:pPr>
                              <w:spacing w:line="360" w:lineRule="auto"/>
                              <w:jc w:val="both"/>
                              <w:rPr>
                                <w:rFonts w:ascii="Arial" w:hAnsi="Arial" w:cs="Arial"/>
                                <w:color w:val="FFFFFF" w:themeColor="background1"/>
                                <w:sz w:val="56"/>
                                <w:szCs w:val="56"/>
                              </w:rPr>
                            </w:pPr>
                          </w:p>
                          <w:p w14:paraId="7C7DF993" w14:textId="77777777" w:rsidR="00D41FC4" w:rsidRPr="00C75EB7" w:rsidRDefault="00D41FC4" w:rsidP="00C75EB7">
                            <w:pPr>
                              <w:spacing w:line="360" w:lineRule="auto"/>
                              <w:jc w:val="both"/>
                              <w:rPr>
                                <w:rFonts w:ascii="Arial" w:hAnsi="Arial" w:cs="Arial"/>
                                <w:color w:val="FFFFFF" w:themeColor="background1"/>
                                <w:sz w:val="56"/>
                                <w:szCs w:val="56"/>
                              </w:rPr>
                            </w:pPr>
                          </w:p>
                          <w:p w14:paraId="5431D416" w14:textId="0DC228BE" w:rsidR="00D41FC4" w:rsidRPr="00C75EB7" w:rsidRDefault="00D41FC4" w:rsidP="00C75EB7">
                            <w:pPr>
                              <w:pStyle w:val="NormalWeb"/>
                              <w:spacing w:before="780" w:beforeAutospacing="0" w:after="0" w:afterAutospacing="0"/>
                              <w:jc w:val="center"/>
                              <w:textAlignment w:val="baseline"/>
                              <w:rPr>
                                <w:color w:val="FFFFFF" w:themeColor="background1"/>
                                <w:sz w:val="56"/>
                                <w:szCs w:val="5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5.95pt;margin-top:-18.3pt;width:509.95pt;height:8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eev+ABAACWAwAADgAAAGRycy9lMm9Eb2MueG1srFPLbtswELwX6D8QvNeS7NhJBctB2jS9pA8g&#10;6QesKcoiSnJZkrbkv++SchyjvRXVgeBjd3ZmZ7W+HY1mB+mDQtvwalZyJq3AVtldw388P7y74SxE&#10;sC1otLLhRxn47ebtm/XgajnHHnUrPSMQG+rBNbyP0dVFEUQvDYQZOmnpsUNvINLR74rWw0DoRhfz&#10;slwVA/rWeRQyBLq9nx75JuN3nRTxW9cFGZluOHGLefV53aa12Kyh3nlwvRInGvAPLAwoS0XPUPcQ&#10;ge29+gvKKOExYBdnAk2BXaeEzBpITVX+oeapByezFmpOcOc2hf8HK74evnumWvJusaiuOLNgyKZn&#10;OUb2AUe2TB0aXKgp8MlRaBzpmqKz2uAeUfwMzOLHHuxO3nmPQy+hJYZVyiwuUieckEC2wxdsqQzs&#10;I2agsfMmtY8awgidnDqe3UlUBF2urq5Xi9WSM0Fv14tqSf7nGlC/pDsf4meJhqVNwz3Zn+Hh8Bhi&#10;ogP1S0iqZvFBaZ1HQFs2NPz9cr7MCRcvRkWaUK1Mw2/K9E0zk1R+sm1OjqD0tKcC2p5kJ6WT5jhu&#10;RwpMvdhie6QGDDRxDQ+/9uCTwYnKHfWiU5nla+AJiszP5E+Dmqbr8pyjXn+nzW8AAAD//wMAUEsD&#10;BBQABgAIAAAAIQDiR1Ga3wAAAAwBAAAPAAAAZHJzL2Rvd25yZXYueG1sTI/BTsMwDIbvSLxDZCRu&#10;W1LourU0nRCIK4jBkLhljddWNE7VZGt5e8wJbrb86ff3l9vZ9eKMY+g8aUiWCgRS7W1HjYb3t6fF&#10;BkSIhqzpPaGGbwywrS4vSlNYP9ErnnexERxCoTAa2hiHQspQt+hMWPoBiW9HPzoTeR0baUczcbjr&#10;5Y1SmXSmI/7QmgEfWqy/dienYf98/PxI1Uvz6FbD5GclyeVS6+ur+f4ORMQ5/sHwq8/qULHTwZ/I&#10;BtFrWKyTnFEebrMMBBN5uuF2B0aTZJWCrEr5v0T1AwAA//8DAFBLAQItABQABgAIAAAAIQDkmcPA&#10;+wAAAOEBAAATAAAAAAAAAAAAAAAAAAAAAABbQ29udGVudF9UeXBlc10ueG1sUEsBAi0AFAAGAAgA&#10;AAAhACOyauHXAAAAlAEAAAsAAAAAAAAAAAAAAAAALAEAAF9yZWxzLy5yZWxzUEsBAi0AFAAGAAgA&#10;AAAhALUnnr/gAQAAlgMAAA4AAAAAAAAAAAAAAAAALAIAAGRycy9lMm9Eb2MueG1sUEsBAi0AFAAG&#10;AAgAAAAhAOJHUZrfAAAADAEAAA8AAAAAAAAAAAAAAAAAOAQAAGRycy9kb3ducmV2LnhtbFBLBQYA&#10;AAAABAAEAPMAAABEBQAAAAA=&#10;" filled="f" stroked="f">
                <v:textbox>
                  <w:txbxContent>
                    <w:p w14:paraId="780B8776" w14:textId="77777777" w:rsidR="00D41FC4" w:rsidRPr="00EB59D1" w:rsidRDefault="00D41FC4" w:rsidP="00C75EB7">
                      <w:pPr>
                        <w:pStyle w:val="Header"/>
                        <w:spacing w:line="360" w:lineRule="auto"/>
                        <w:jc w:val="both"/>
                        <w:rPr>
                          <w:rFonts w:ascii="Arial" w:hAnsi="Arial" w:cs="Arial"/>
                          <w:b/>
                          <w:i/>
                          <w:color w:val="FFFFFF" w:themeColor="background1"/>
                          <w:sz w:val="96"/>
                          <w:szCs w:val="96"/>
                        </w:rPr>
                      </w:pPr>
                      <w:bookmarkStart w:id="3" w:name="_Toc218018802"/>
                      <w:bookmarkStart w:id="4" w:name="_Toc220333627"/>
                    </w:p>
                    <w:p w14:paraId="08E2E569" w14:textId="32D6A979" w:rsidR="00D41FC4" w:rsidRPr="00EB59D1" w:rsidRDefault="00D41FC4" w:rsidP="00C75EB7">
                      <w:pPr>
                        <w:pStyle w:val="Header"/>
                        <w:spacing w:line="360" w:lineRule="auto"/>
                        <w:jc w:val="center"/>
                        <w:rPr>
                          <w:rFonts w:ascii="Arial" w:hAnsi="Arial" w:cs="Arial"/>
                          <w:b/>
                          <w:i/>
                          <w:color w:val="FFFFFF" w:themeColor="background1"/>
                          <w:sz w:val="96"/>
                          <w:szCs w:val="96"/>
                        </w:rPr>
                      </w:pPr>
                      <w:r w:rsidRPr="00EB59D1">
                        <w:rPr>
                          <w:rFonts w:ascii="Arial" w:hAnsi="Arial" w:cs="Arial"/>
                          <w:b/>
                          <w:i/>
                          <w:color w:val="FFFFFF" w:themeColor="background1"/>
                          <w:sz w:val="96"/>
                          <w:szCs w:val="96"/>
                        </w:rPr>
                        <w:t>Innovación</w:t>
                      </w:r>
                      <w:r>
                        <w:rPr>
                          <w:rFonts w:ascii="Arial" w:hAnsi="Arial" w:cs="Arial"/>
                          <w:b/>
                          <w:i/>
                          <w:color w:val="FFFFFF" w:themeColor="background1"/>
                          <w:sz w:val="96"/>
                          <w:szCs w:val="96"/>
                        </w:rPr>
                        <w:t xml:space="preserve"> Social</w:t>
                      </w:r>
                      <w:r w:rsidRPr="00EB59D1">
                        <w:rPr>
                          <w:rFonts w:ascii="Arial" w:hAnsi="Arial" w:cs="Arial"/>
                          <w:b/>
                          <w:i/>
                          <w:color w:val="FFFFFF" w:themeColor="background1"/>
                          <w:sz w:val="96"/>
                          <w:szCs w:val="96"/>
                        </w:rPr>
                        <w:t xml:space="preserve"> en la Base de la Pirámide</w:t>
                      </w:r>
                    </w:p>
                    <w:p w14:paraId="6D58B007" w14:textId="08518119" w:rsidR="00D41FC4" w:rsidRPr="00C75EB7" w:rsidRDefault="00D41FC4" w:rsidP="00C75EB7">
                      <w:pPr>
                        <w:pStyle w:val="Header"/>
                        <w:spacing w:line="360" w:lineRule="auto"/>
                        <w:jc w:val="center"/>
                        <w:rPr>
                          <w:rFonts w:ascii="Arial" w:hAnsi="Arial" w:cs="Arial"/>
                          <w:b/>
                          <w:i/>
                          <w:color w:val="FFFFFF" w:themeColor="background1"/>
                          <w:sz w:val="56"/>
                          <w:szCs w:val="56"/>
                        </w:rPr>
                      </w:pPr>
                      <w:r w:rsidRPr="00C75EB7">
                        <w:rPr>
                          <w:rFonts w:ascii="Arial" w:hAnsi="Arial" w:cs="Arial"/>
                          <w:b/>
                          <w:i/>
                          <w:color w:val="FFFFFF" w:themeColor="background1"/>
                          <w:sz w:val="56"/>
                          <w:szCs w:val="56"/>
                        </w:rPr>
                        <w:t>Modelos de Negocio que combinan la rentabilidad y el impacto social</w:t>
                      </w:r>
                    </w:p>
                    <w:p w14:paraId="7E65E79D" w14:textId="6E6DBDE4" w:rsidR="00D41FC4" w:rsidRPr="00C75EB7" w:rsidRDefault="00D41FC4" w:rsidP="00C75EB7">
                      <w:pPr>
                        <w:spacing w:line="360" w:lineRule="auto"/>
                        <w:jc w:val="center"/>
                        <w:rPr>
                          <w:rFonts w:ascii="Arial" w:hAnsi="Arial" w:cs="Arial"/>
                          <w:b/>
                          <w:color w:val="FFFFFF" w:themeColor="background1"/>
                          <w:sz w:val="56"/>
                          <w:szCs w:val="56"/>
                        </w:rPr>
                      </w:pPr>
                      <w:r>
                        <w:rPr>
                          <w:rFonts w:ascii="Arial" w:hAnsi="Arial" w:cs="Arial"/>
                          <w:b/>
                          <w:color w:val="FFFFFF" w:themeColor="background1"/>
                          <w:sz w:val="56"/>
                          <w:szCs w:val="56"/>
                        </w:rPr>
                        <w:t>O</w:t>
                      </w:r>
                      <w:r w:rsidRPr="00C75EB7">
                        <w:rPr>
                          <w:rFonts w:ascii="Arial" w:hAnsi="Arial" w:cs="Arial"/>
                          <w:b/>
                          <w:color w:val="FFFFFF" w:themeColor="background1"/>
                          <w:sz w:val="56"/>
                          <w:szCs w:val="56"/>
                        </w:rPr>
                        <w:t>portunidades, retos y casos de éxito</w:t>
                      </w:r>
                      <w:bookmarkEnd w:id="3"/>
                      <w:bookmarkEnd w:id="4"/>
                    </w:p>
                    <w:p w14:paraId="2673619B" w14:textId="77777777" w:rsidR="00D41FC4" w:rsidRPr="00C75EB7" w:rsidRDefault="00D41FC4" w:rsidP="00C75EB7">
                      <w:pPr>
                        <w:spacing w:line="360" w:lineRule="auto"/>
                        <w:jc w:val="both"/>
                        <w:rPr>
                          <w:rFonts w:ascii="Arial" w:hAnsi="Arial" w:cs="Arial"/>
                          <w:b/>
                          <w:color w:val="FFFFFF" w:themeColor="background1"/>
                          <w:sz w:val="56"/>
                          <w:szCs w:val="56"/>
                        </w:rPr>
                      </w:pPr>
                    </w:p>
                    <w:p w14:paraId="33743C9E" w14:textId="77777777" w:rsidR="00D41FC4" w:rsidRPr="00C75EB7" w:rsidRDefault="00D41FC4" w:rsidP="00C75EB7">
                      <w:pPr>
                        <w:spacing w:line="360" w:lineRule="auto"/>
                        <w:jc w:val="both"/>
                        <w:rPr>
                          <w:rFonts w:ascii="Arial" w:hAnsi="Arial" w:cs="Arial"/>
                          <w:b/>
                          <w:color w:val="FFFFFF" w:themeColor="background1"/>
                          <w:sz w:val="56"/>
                          <w:szCs w:val="56"/>
                        </w:rPr>
                      </w:pPr>
                    </w:p>
                    <w:p w14:paraId="0D4653E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5E0DFBA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r w:rsidRPr="00C75EB7">
                        <w:rPr>
                          <w:rFonts w:ascii="Arial" w:hAnsi="Arial" w:cs="Arial"/>
                          <w:b/>
                          <w:color w:val="FFFFFF" w:themeColor="background1"/>
                          <w:sz w:val="56"/>
                          <w:szCs w:val="56"/>
                        </w:rPr>
                        <w:t>Guadalupe de la Mata</w:t>
                      </w:r>
                    </w:p>
                    <w:p w14:paraId="597CA9C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1E8A559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3C0360D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68A62AA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1C725BE" w14:textId="77777777" w:rsidR="00D41FC4" w:rsidRPr="00C75EB7" w:rsidRDefault="00D41FC4" w:rsidP="00C75EB7">
                      <w:pPr>
                        <w:spacing w:before="120" w:line="360" w:lineRule="auto"/>
                        <w:jc w:val="both"/>
                        <w:rPr>
                          <w:rFonts w:ascii="Arial" w:eastAsiaTheme="majorEastAsia" w:hAnsi="Arial" w:cs="Arial"/>
                          <w:bCs/>
                          <w:i/>
                          <w:caps/>
                          <w:color w:val="FFFFFF" w:themeColor="background1"/>
                          <w:sz w:val="56"/>
                          <w:szCs w:val="56"/>
                        </w:rPr>
                      </w:pPr>
                      <w:r w:rsidRPr="00C75EB7">
                        <w:rPr>
                          <w:rFonts w:ascii="Arial" w:eastAsiaTheme="majorEastAsia" w:hAnsi="Arial" w:cs="Arial"/>
                          <w:bCs/>
                          <w:i/>
                          <w:caps/>
                          <w:color w:val="FFFFFF" w:themeColor="background1"/>
                          <w:sz w:val="56"/>
                          <w:szCs w:val="56"/>
                        </w:rPr>
                        <w:fldChar w:fldCharType="begin"/>
                      </w:r>
                      <w:r w:rsidRPr="00C75EB7">
                        <w:rPr>
                          <w:rFonts w:ascii="Arial" w:eastAsiaTheme="majorEastAsia" w:hAnsi="Arial" w:cs="Arial"/>
                          <w:bCs/>
                          <w:i/>
                          <w:caps/>
                          <w:color w:val="FFFFFF" w:themeColor="background1"/>
                          <w:sz w:val="56"/>
                          <w:szCs w:val="56"/>
                        </w:rPr>
                        <w:instrText xml:space="preserve"> TOC \o "1-3" </w:instrText>
                      </w:r>
                      <w:r w:rsidRPr="00C75EB7">
                        <w:rPr>
                          <w:rFonts w:ascii="Arial" w:eastAsiaTheme="majorEastAsia" w:hAnsi="Arial" w:cs="Arial"/>
                          <w:bCs/>
                          <w:i/>
                          <w:caps/>
                          <w:color w:val="FFFFFF" w:themeColor="background1"/>
                          <w:sz w:val="56"/>
                          <w:szCs w:val="56"/>
                        </w:rPr>
                        <w:fldChar w:fldCharType="separate"/>
                      </w:r>
                      <w:r w:rsidRPr="00C75EB7">
                        <w:rPr>
                          <w:rFonts w:ascii="Arial" w:eastAsiaTheme="majorEastAsia" w:hAnsi="Arial" w:cs="Arial"/>
                          <w:b/>
                          <w:bCs/>
                          <w:i/>
                          <w:caps/>
                          <w:noProof/>
                          <w:color w:val="FFFFFF" w:themeColor="background1"/>
                          <w:sz w:val="56"/>
                          <w:szCs w:val="56"/>
                        </w:rPr>
                        <w:t>Error! Table not allowed in footnote, endnote, header, footer, comment, or text box.</w:t>
                      </w:r>
                      <w:r w:rsidRPr="00C75EB7">
                        <w:rPr>
                          <w:rFonts w:ascii="Arial" w:eastAsiaTheme="majorEastAsia" w:hAnsi="Arial" w:cs="Arial"/>
                          <w:bCs/>
                          <w:i/>
                          <w:caps/>
                          <w:color w:val="FFFFFF" w:themeColor="background1"/>
                          <w:sz w:val="56"/>
                          <w:szCs w:val="56"/>
                        </w:rPr>
                        <w:fldChar w:fldCharType="end"/>
                      </w:r>
                    </w:p>
                    <w:p w14:paraId="4FFFA1B2" w14:textId="77777777" w:rsidR="00D41FC4" w:rsidRPr="00C75EB7" w:rsidRDefault="00D41FC4" w:rsidP="00C75EB7">
                      <w:pPr>
                        <w:spacing w:before="120" w:line="360" w:lineRule="auto"/>
                        <w:jc w:val="both"/>
                        <w:rPr>
                          <w:rFonts w:ascii="Arial" w:eastAsiaTheme="majorEastAsia" w:hAnsi="Arial" w:cs="Arial"/>
                          <w:b/>
                          <w:bCs/>
                          <w:color w:val="FFFFFF" w:themeColor="background1"/>
                          <w:sz w:val="56"/>
                          <w:szCs w:val="56"/>
                        </w:rPr>
                      </w:pPr>
                    </w:p>
                    <w:p w14:paraId="1CEB01EF" w14:textId="77777777" w:rsidR="00D41FC4" w:rsidRPr="00C75EB7" w:rsidRDefault="00D41FC4" w:rsidP="00C75EB7">
                      <w:pPr>
                        <w:pStyle w:val="Heading1"/>
                        <w:widowControl w:val="0"/>
                        <w:autoSpaceDE w:val="0"/>
                        <w:autoSpaceDN w:val="0"/>
                        <w:adjustRightInd w:val="0"/>
                        <w:spacing w:line="360" w:lineRule="auto"/>
                        <w:jc w:val="both"/>
                        <w:rPr>
                          <w:rFonts w:ascii="Arial" w:hAnsi="Arial" w:cs="Arial"/>
                          <w:color w:val="FFFFFF" w:themeColor="background1"/>
                          <w:sz w:val="56"/>
                          <w:szCs w:val="56"/>
                          <w:lang w:val="en-US"/>
                        </w:rPr>
                      </w:pPr>
                    </w:p>
                    <w:p w14:paraId="7EB5F740" w14:textId="77777777" w:rsidR="00D41FC4" w:rsidRPr="00C75EB7" w:rsidRDefault="00D41FC4" w:rsidP="00C75EB7">
                      <w:pPr>
                        <w:rPr>
                          <w:color w:val="FFFFFF" w:themeColor="background1"/>
                          <w:sz w:val="56"/>
                          <w:szCs w:val="56"/>
                          <w:lang w:val="en-US"/>
                        </w:rPr>
                      </w:pPr>
                    </w:p>
                    <w:p w14:paraId="25DB52C1" w14:textId="77777777" w:rsidR="00D41FC4" w:rsidRPr="00C75EB7" w:rsidRDefault="00D41FC4" w:rsidP="00C75EB7">
                      <w:pPr>
                        <w:rPr>
                          <w:color w:val="FFFFFF" w:themeColor="background1"/>
                          <w:sz w:val="56"/>
                          <w:szCs w:val="56"/>
                          <w:lang w:val="en-US"/>
                        </w:rPr>
                      </w:pPr>
                    </w:p>
                    <w:p w14:paraId="6A027D5E" w14:textId="77777777" w:rsidR="00D41FC4" w:rsidRPr="00C75EB7" w:rsidRDefault="00D41FC4" w:rsidP="00C75EB7">
                      <w:pPr>
                        <w:rPr>
                          <w:color w:val="FFFFFF" w:themeColor="background1"/>
                          <w:sz w:val="56"/>
                          <w:szCs w:val="56"/>
                          <w:lang w:val="en-US"/>
                        </w:rPr>
                      </w:pPr>
                    </w:p>
                    <w:p w14:paraId="7C907562" w14:textId="77777777" w:rsidR="00D41FC4" w:rsidRPr="00C75EB7" w:rsidRDefault="00D41FC4" w:rsidP="00C75EB7">
                      <w:pPr>
                        <w:rPr>
                          <w:color w:val="FFFFFF" w:themeColor="background1"/>
                          <w:sz w:val="56"/>
                          <w:szCs w:val="56"/>
                          <w:lang w:val="en-US"/>
                        </w:rPr>
                      </w:pPr>
                    </w:p>
                    <w:p w14:paraId="4CF42291" w14:textId="77777777" w:rsidR="00D41FC4" w:rsidRPr="00C75EB7" w:rsidRDefault="00D41FC4" w:rsidP="00C75EB7">
                      <w:pPr>
                        <w:rPr>
                          <w:color w:val="FFFFFF" w:themeColor="background1"/>
                          <w:sz w:val="56"/>
                          <w:szCs w:val="56"/>
                          <w:lang w:val="en-US"/>
                        </w:rPr>
                      </w:pPr>
                    </w:p>
                    <w:p w14:paraId="4CDEF927" w14:textId="77777777" w:rsidR="00D41FC4" w:rsidRPr="00C75EB7" w:rsidRDefault="00D41FC4" w:rsidP="00C75EB7">
                      <w:pPr>
                        <w:rPr>
                          <w:color w:val="FFFFFF" w:themeColor="background1"/>
                          <w:sz w:val="56"/>
                          <w:szCs w:val="56"/>
                          <w:lang w:val="en-US"/>
                        </w:rPr>
                      </w:pPr>
                    </w:p>
                    <w:p w14:paraId="21093D43" w14:textId="77777777" w:rsidR="00D41FC4" w:rsidRPr="00C75EB7" w:rsidRDefault="00D41FC4" w:rsidP="00C75EB7">
                      <w:pPr>
                        <w:rPr>
                          <w:color w:val="FFFFFF" w:themeColor="background1"/>
                          <w:sz w:val="56"/>
                          <w:szCs w:val="56"/>
                          <w:lang w:val="en-US"/>
                        </w:rPr>
                      </w:pPr>
                    </w:p>
                    <w:p w14:paraId="7A8002FC" w14:textId="77777777" w:rsidR="00D41FC4" w:rsidRPr="00C75EB7" w:rsidRDefault="00D41FC4" w:rsidP="00C75EB7">
                      <w:pPr>
                        <w:rPr>
                          <w:color w:val="FFFFFF" w:themeColor="background1"/>
                          <w:sz w:val="56"/>
                          <w:szCs w:val="56"/>
                          <w:lang w:val="en-US"/>
                        </w:rPr>
                      </w:pPr>
                    </w:p>
                    <w:p w14:paraId="1BFF80F9" w14:textId="77777777" w:rsidR="00D41FC4" w:rsidRPr="00C75EB7" w:rsidRDefault="00D41FC4" w:rsidP="00C75EB7">
                      <w:pPr>
                        <w:rPr>
                          <w:color w:val="FFFFFF" w:themeColor="background1"/>
                          <w:sz w:val="56"/>
                          <w:szCs w:val="56"/>
                          <w:lang w:val="en-US"/>
                        </w:rPr>
                      </w:pPr>
                    </w:p>
                    <w:p w14:paraId="34039B03" w14:textId="77777777" w:rsidR="00D41FC4" w:rsidRPr="00C75EB7" w:rsidRDefault="00D41FC4" w:rsidP="00C75EB7">
                      <w:pPr>
                        <w:rPr>
                          <w:color w:val="FFFFFF" w:themeColor="background1"/>
                          <w:sz w:val="56"/>
                          <w:szCs w:val="56"/>
                          <w:lang w:val="en-US"/>
                        </w:rPr>
                      </w:pPr>
                    </w:p>
                    <w:p w14:paraId="095E91AB" w14:textId="77777777" w:rsidR="00D41FC4" w:rsidRPr="00C75EB7" w:rsidRDefault="00D41FC4" w:rsidP="00C75EB7">
                      <w:pPr>
                        <w:rPr>
                          <w:color w:val="FFFFFF" w:themeColor="background1"/>
                          <w:sz w:val="56"/>
                          <w:szCs w:val="56"/>
                          <w:lang w:val="en-US"/>
                        </w:rPr>
                      </w:pPr>
                    </w:p>
                    <w:p w14:paraId="0C06FCDB" w14:textId="77777777" w:rsidR="00D41FC4" w:rsidRPr="00C75EB7" w:rsidRDefault="00D41FC4" w:rsidP="00C75EB7">
                      <w:pPr>
                        <w:pStyle w:val="Heading1"/>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Introducción: un nuevo rol de las empresas ante los retos sociales y de desarrollo </w:t>
                      </w:r>
                    </w:p>
                    <w:p w14:paraId="031F05B9" w14:textId="77777777" w:rsidR="00D41FC4" w:rsidRPr="00C75EB7" w:rsidRDefault="00D41FC4" w:rsidP="00C75EB7">
                      <w:pPr>
                        <w:rPr>
                          <w:color w:val="FFFFFF" w:themeColor="background1"/>
                          <w:sz w:val="56"/>
                          <w:szCs w:val="56"/>
                          <w:lang w:val="en-US"/>
                        </w:rPr>
                      </w:pPr>
                    </w:p>
                    <w:p w14:paraId="582B4B78" w14:textId="77777777" w:rsidR="00D41FC4" w:rsidRPr="00C75EB7" w:rsidRDefault="00D41FC4" w:rsidP="00C75EB7">
                      <w:pPr>
                        <w:rPr>
                          <w:color w:val="FFFFFF" w:themeColor="background1"/>
                          <w:sz w:val="56"/>
                          <w:szCs w:val="56"/>
                          <w:lang w:val="en-US"/>
                        </w:rPr>
                      </w:pPr>
                    </w:p>
                    <w:p w14:paraId="0FFB1C75" w14:textId="77777777" w:rsidR="00D41FC4" w:rsidRPr="00C75EB7" w:rsidRDefault="00D41FC4" w:rsidP="00C75EB7">
                      <w:pPr>
                        <w:rPr>
                          <w:color w:val="FFFFFF" w:themeColor="background1"/>
                          <w:sz w:val="56"/>
                          <w:szCs w:val="56"/>
                          <w:lang w:val="en-US"/>
                        </w:rPr>
                      </w:pPr>
                    </w:p>
                    <w:p w14:paraId="2F7F612A" w14:textId="77777777" w:rsidR="00D41FC4" w:rsidRPr="00C75EB7" w:rsidRDefault="00D41FC4" w:rsidP="00C75EB7">
                      <w:pPr>
                        <w:rPr>
                          <w:color w:val="FFFFFF" w:themeColor="background1"/>
                          <w:sz w:val="56"/>
                          <w:szCs w:val="56"/>
                          <w:lang w:val="en-US"/>
                        </w:rPr>
                      </w:pPr>
                    </w:p>
                    <w:p w14:paraId="44BF45A0" w14:textId="77777777" w:rsidR="00D41FC4" w:rsidRPr="00C75EB7" w:rsidRDefault="00D41FC4" w:rsidP="00C75EB7">
                      <w:pPr>
                        <w:rPr>
                          <w:color w:val="FFFFFF" w:themeColor="background1"/>
                          <w:sz w:val="56"/>
                          <w:szCs w:val="56"/>
                          <w:lang w:val="en-US"/>
                        </w:rPr>
                      </w:pPr>
                    </w:p>
                    <w:p w14:paraId="78DEDBE5" w14:textId="77777777" w:rsidR="00D41FC4" w:rsidRPr="00C75EB7" w:rsidRDefault="00D41FC4" w:rsidP="00C75EB7">
                      <w:pPr>
                        <w:rPr>
                          <w:color w:val="FFFFFF" w:themeColor="background1"/>
                          <w:sz w:val="56"/>
                          <w:szCs w:val="56"/>
                          <w:lang w:val="en-US"/>
                        </w:rPr>
                      </w:pPr>
                    </w:p>
                    <w:p w14:paraId="18A6D90E" w14:textId="77777777" w:rsidR="00D41FC4" w:rsidRPr="00C75EB7" w:rsidRDefault="00D41FC4" w:rsidP="00C75EB7">
                      <w:pPr>
                        <w:rPr>
                          <w:color w:val="FFFFFF" w:themeColor="background1"/>
                          <w:sz w:val="56"/>
                          <w:szCs w:val="56"/>
                          <w:lang w:val="en-US"/>
                        </w:rPr>
                      </w:pPr>
                    </w:p>
                    <w:p w14:paraId="53E1A11C" w14:textId="77777777" w:rsidR="00D41FC4" w:rsidRPr="00C75EB7" w:rsidRDefault="00D41FC4" w:rsidP="00C75EB7">
                      <w:pPr>
                        <w:rPr>
                          <w:color w:val="FFFFFF" w:themeColor="background1"/>
                          <w:sz w:val="56"/>
                          <w:szCs w:val="56"/>
                          <w:lang w:val="en-US"/>
                        </w:rPr>
                      </w:pPr>
                    </w:p>
                    <w:p w14:paraId="11EEA3C3" w14:textId="77777777" w:rsidR="00D41FC4" w:rsidRPr="00C75EB7" w:rsidRDefault="00D41FC4" w:rsidP="00C75EB7">
                      <w:pPr>
                        <w:rPr>
                          <w:color w:val="FFFFFF" w:themeColor="background1"/>
                          <w:sz w:val="56"/>
                          <w:szCs w:val="56"/>
                          <w:lang w:val="en-US"/>
                        </w:rPr>
                      </w:pPr>
                    </w:p>
                    <w:p w14:paraId="0B0D3B99" w14:textId="77777777" w:rsidR="00D41FC4" w:rsidRPr="00C75EB7" w:rsidRDefault="00D41FC4" w:rsidP="00C75EB7">
                      <w:pPr>
                        <w:rPr>
                          <w:color w:val="FFFFFF" w:themeColor="background1"/>
                          <w:sz w:val="56"/>
                          <w:szCs w:val="56"/>
                          <w:lang w:val="en-US"/>
                        </w:rPr>
                      </w:pPr>
                    </w:p>
                    <w:p w14:paraId="15B40233" w14:textId="77777777" w:rsidR="00D41FC4" w:rsidRPr="00C75EB7" w:rsidRDefault="00D41FC4" w:rsidP="00C75EB7">
                      <w:pPr>
                        <w:rPr>
                          <w:color w:val="FFFFFF" w:themeColor="background1"/>
                          <w:sz w:val="56"/>
                          <w:szCs w:val="56"/>
                          <w:lang w:val="en-US"/>
                        </w:rPr>
                      </w:pPr>
                    </w:p>
                    <w:p w14:paraId="35C5190C" w14:textId="77777777" w:rsidR="00D41FC4" w:rsidRPr="00C75EB7" w:rsidRDefault="00D41FC4" w:rsidP="00C75EB7">
                      <w:pPr>
                        <w:rPr>
                          <w:color w:val="FFFFFF" w:themeColor="background1"/>
                          <w:sz w:val="56"/>
                          <w:szCs w:val="56"/>
                          <w:lang w:val="en-US"/>
                        </w:rPr>
                      </w:pPr>
                    </w:p>
                    <w:p w14:paraId="655EB5E0" w14:textId="77777777" w:rsidR="00D41FC4" w:rsidRPr="00C75EB7" w:rsidRDefault="00D41FC4" w:rsidP="00C75EB7">
                      <w:pPr>
                        <w:rPr>
                          <w:color w:val="FFFFFF" w:themeColor="background1"/>
                          <w:sz w:val="56"/>
                          <w:szCs w:val="56"/>
                          <w:lang w:val="en-US"/>
                        </w:rPr>
                      </w:pPr>
                    </w:p>
                    <w:p w14:paraId="7D744E61" w14:textId="77777777" w:rsidR="00D41FC4" w:rsidRPr="00C75EB7" w:rsidRDefault="00D41FC4" w:rsidP="00C75EB7">
                      <w:pPr>
                        <w:rPr>
                          <w:color w:val="FFFFFF" w:themeColor="background1"/>
                          <w:sz w:val="56"/>
                          <w:szCs w:val="56"/>
                          <w:lang w:val="en-US"/>
                        </w:rPr>
                      </w:pPr>
                    </w:p>
                    <w:p w14:paraId="71EFD0AD" w14:textId="77777777" w:rsidR="00D41FC4" w:rsidRPr="00C75EB7" w:rsidRDefault="00D41FC4" w:rsidP="00C75EB7">
                      <w:pPr>
                        <w:rPr>
                          <w:color w:val="FFFFFF" w:themeColor="background1"/>
                          <w:sz w:val="56"/>
                          <w:szCs w:val="56"/>
                          <w:lang w:val="en-US"/>
                        </w:rPr>
                      </w:pPr>
                    </w:p>
                    <w:p w14:paraId="18257D5A" w14:textId="77777777" w:rsidR="00D41FC4" w:rsidRPr="00C75EB7" w:rsidRDefault="00D41FC4" w:rsidP="00C75EB7">
                      <w:pPr>
                        <w:rPr>
                          <w:color w:val="FFFFFF" w:themeColor="background1"/>
                          <w:sz w:val="56"/>
                          <w:szCs w:val="56"/>
                          <w:lang w:val="en-US"/>
                        </w:rPr>
                      </w:pPr>
                    </w:p>
                    <w:p w14:paraId="7146ACF3" w14:textId="77777777" w:rsidR="00D41FC4" w:rsidRPr="00C75EB7" w:rsidRDefault="00D41FC4" w:rsidP="00C75EB7">
                      <w:pPr>
                        <w:rPr>
                          <w:color w:val="FFFFFF" w:themeColor="background1"/>
                          <w:sz w:val="56"/>
                          <w:szCs w:val="56"/>
                          <w:lang w:val="en-US"/>
                        </w:rPr>
                      </w:pPr>
                    </w:p>
                    <w:p w14:paraId="3F65DC84" w14:textId="77777777" w:rsidR="00D41FC4" w:rsidRPr="00C75EB7" w:rsidRDefault="00D41FC4" w:rsidP="00C75EB7">
                      <w:pPr>
                        <w:rPr>
                          <w:color w:val="FFFFFF" w:themeColor="background1"/>
                          <w:sz w:val="56"/>
                          <w:szCs w:val="56"/>
                          <w:lang w:val="en-US"/>
                        </w:rPr>
                      </w:pPr>
                    </w:p>
                    <w:p w14:paraId="41C97FB5" w14:textId="77777777" w:rsidR="00D41FC4" w:rsidRPr="00C75EB7" w:rsidRDefault="00D41FC4" w:rsidP="00C75EB7">
                      <w:pPr>
                        <w:rPr>
                          <w:color w:val="FFFFFF" w:themeColor="background1"/>
                          <w:sz w:val="56"/>
                          <w:szCs w:val="56"/>
                          <w:lang w:val="en-US"/>
                        </w:rPr>
                      </w:pPr>
                    </w:p>
                    <w:p w14:paraId="6A350EBB" w14:textId="77777777" w:rsidR="00D41FC4" w:rsidRPr="00C75EB7" w:rsidRDefault="00D41FC4" w:rsidP="00C75EB7">
                      <w:pPr>
                        <w:rPr>
                          <w:color w:val="FFFFFF" w:themeColor="background1"/>
                          <w:sz w:val="56"/>
                          <w:szCs w:val="56"/>
                          <w:lang w:val="en-US"/>
                        </w:rPr>
                      </w:pPr>
                    </w:p>
                    <w:p w14:paraId="1082FCD2" w14:textId="77777777" w:rsidR="00D41FC4" w:rsidRPr="00C75EB7" w:rsidRDefault="00D41FC4" w:rsidP="00C75EB7">
                      <w:pPr>
                        <w:rPr>
                          <w:color w:val="FFFFFF" w:themeColor="background1"/>
                          <w:sz w:val="56"/>
                          <w:szCs w:val="56"/>
                          <w:lang w:val="en-US"/>
                        </w:rPr>
                      </w:pPr>
                    </w:p>
                    <w:p w14:paraId="0C29B273" w14:textId="77777777" w:rsidR="00D41FC4" w:rsidRPr="00C75EB7" w:rsidRDefault="00D41FC4" w:rsidP="00C75EB7">
                      <w:pPr>
                        <w:rPr>
                          <w:color w:val="FFFFFF" w:themeColor="background1"/>
                          <w:sz w:val="56"/>
                          <w:szCs w:val="56"/>
                          <w:lang w:val="en-US"/>
                        </w:rPr>
                      </w:pPr>
                    </w:p>
                    <w:p w14:paraId="36AF950F" w14:textId="77777777" w:rsidR="00D41FC4" w:rsidRPr="00C75EB7" w:rsidRDefault="00D41FC4" w:rsidP="00C75EB7">
                      <w:pPr>
                        <w:rPr>
                          <w:color w:val="FFFFFF" w:themeColor="background1"/>
                          <w:sz w:val="56"/>
                          <w:szCs w:val="56"/>
                          <w:lang w:val="en-US"/>
                        </w:rPr>
                      </w:pPr>
                    </w:p>
                    <w:p w14:paraId="08F62B88" w14:textId="77777777" w:rsidR="00D41FC4" w:rsidRPr="00C75EB7" w:rsidRDefault="00D41FC4" w:rsidP="00C75EB7">
                      <w:pPr>
                        <w:rPr>
                          <w:color w:val="FFFFFF" w:themeColor="background1"/>
                          <w:sz w:val="56"/>
                          <w:szCs w:val="56"/>
                          <w:lang w:val="en-US"/>
                        </w:rPr>
                      </w:pPr>
                    </w:p>
                    <w:p w14:paraId="66F0B408" w14:textId="77777777" w:rsidR="00D41FC4" w:rsidRPr="00C75EB7" w:rsidRDefault="00D41FC4" w:rsidP="00C75EB7">
                      <w:pPr>
                        <w:rPr>
                          <w:color w:val="FFFFFF" w:themeColor="background1"/>
                          <w:sz w:val="56"/>
                          <w:szCs w:val="56"/>
                          <w:lang w:val="en-US"/>
                        </w:rPr>
                      </w:pPr>
                    </w:p>
                    <w:p w14:paraId="3B377684" w14:textId="77777777" w:rsidR="00D41FC4" w:rsidRPr="00C75EB7" w:rsidRDefault="00D41FC4" w:rsidP="00C75EB7">
                      <w:pPr>
                        <w:pStyle w:val="Heading1"/>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Introducción: un nuevo rol de las empresas ante los retos sociales y de desarrollo </w:t>
                      </w:r>
                    </w:p>
                    <w:p w14:paraId="59CA7719" w14:textId="77777777" w:rsidR="00D41FC4" w:rsidRPr="00C75EB7" w:rsidRDefault="00D41FC4" w:rsidP="00C75EB7">
                      <w:pPr>
                        <w:pStyle w:val="Heading1"/>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Los desafíos globales y el sector privado</w:t>
                      </w:r>
                    </w:p>
                    <w:p w14:paraId="4747EF6B" w14:textId="77777777" w:rsidR="00D41FC4" w:rsidRPr="00C75EB7" w:rsidRDefault="00D41FC4" w:rsidP="00C75EB7">
                      <w:pPr>
                        <w:spacing w:before="120" w:line="360" w:lineRule="auto"/>
                        <w:jc w:val="both"/>
                        <w:rPr>
                          <w:rFonts w:ascii="Arial" w:hAnsi="Arial" w:cs="Arial"/>
                          <w:bCs/>
                          <w:color w:val="FFFFFF" w:themeColor="background1"/>
                          <w:sz w:val="56"/>
                          <w:szCs w:val="56"/>
                        </w:rPr>
                      </w:pPr>
                      <w:r w:rsidRPr="00C75EB7">
                        <w:rPr>
                          <w:rFonts w:ascii="Arial" w:hAnsi="Arial" w:cs="Arial"/>
                          <w:color w:val="FFFFFF" w:themeColor="background1"/>
                          <w:sz w:val="56"/>
                          <w:szCs w:val="56"/>
                        </w:rPr>
                        <w:t>La extrema pobreza en el mundo llama a acciones urgentes. Más de  4000 millones de personas viven con menos de 2 dólares al día, más de 1000 millones no tienen acceso al agua potable, 1 600 no tiene electricidad y 5 400 no tienen acceso a Internet.</w:t>
                      </w:r>
                    </w:p>
                    <w:p w14:paraId="2DB8C6F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Los negocios inclusivos se enmarcan en una nueva ética de la responsabilidad frente a problemas sociales, en la que distintos actores del sector corporativo y financiero, tercer sector y sector público, se sienten emplazados a contribuir a la mejora de la situación de pobreza de las comunidades desfavorecidas (Cortina; 2003).</w:t>
                      </w:r>
                    </w:p>
                    <w:p w14:paraId="24B4FB0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Muchos de estos actores están reflexionando sobre su papel ante los retos sociales y ante la necesidad imperiosa de un nuevo paradigma de desarrollo basado en el crecimiento económico, la equidad y el desarrollo económico y social. Al mismo tiempo,  están surgiendo nuevas fórmulas para trabajar de forma conjunta y responder de manera más eficiente y  con mayor impacto</w:t>
                      </w:r>
                    </w:p>
                    <w:p w14:paraId="4E0FB9A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Cada uno de estos actores ha desarrollado estrategias e iniciativas para contribuir a este objetivo. Entre ellos, las empresas han asumido en los últimos años un mayor protagonismo en la aportación de soluciones a cuestiones como la exclusión social y la pobreza desde varias perspectivas.</w:t>
                      </w:r>
                    </w:p>
                    <w:p w14:paraId="4C5106C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i/>
                          <w:color w:val="FFFFFF" w:themeColor="background1"/>
                          <w:sz w:val="56"/>
                          <w:szCs w:val="56"/>
                        </w:rPr>
                      </w:pPr>
                      <w:r w:rsidRPr="00C75EB7">
                        <w:rPr>
                          <w:rFonts w:ascii="Arial" w:hAnsi="Arial" w:cs="Arial"/>
                          <w:color w:val="FFFFFF" w:themeColor="background1"/>
                          <w:sz w:val="56"/>
                          <w:szCs w:val="56"/>
                        </w:rPr>
                        <w:t>En un primer momento a través de la Responsabilidad Social Corporativa (RSC) o Responsabilidad Social Empresarial (RSE),  definida por el World Business Council for Sustainable Development (WBCSD) como “</w:t>
                      </w:r>
                      <w:r w:rsidRPr="00C75EB7">
                        <w:rPr>
                          <w:rFonts w:ascii="Arial" w:hAnsi="Arial" w:cs="Arial"/>
                          <w:i/>
                          <w:color w:val="FFFFFF" w:themeColor="background1"/>
                          <w:sz w:val="56"/>
                          <w:szCs w:val="56"/>
                        </w:rPr>
                        <w:t xml:space="preserve">El compromiso de la empresa para contribuir al desarrollo económico sostenido trabajando con los empleados, sus familias, la comunidad local y toda la sociedad para mejorar la calidad de vida”. </w:t>
                      </w:r>
                    </w:p>
                    <w:p w14:paraId="5B7E612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Posteriormente, surgen otro tipo de propuestas que destacan la oportunidad de llevar la lógica empresarial a las comunidades desfavorecidas como respuesta a la superación de la pobreza (Prahalad, 2005) y que  se centran en encontrar soluciones que tengan impacto social y además tengan viabilidad económica e idealmente rentabilidad financiera.</w:t>
                      </w:r>
                    </w:p>
                    <w:p w14:paraId="1A61F2F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noProof/>
                          <w:color w:val="FFFFFF" w:themeColor="background1"/>
                          <w:sz w:val="56"/>
                          <w:szCs w:val="56"/>
                          <w:lang w:val="en-US"/>
                        </w:rPr>
                        <w:drawing>
                          <wp:inline distT="0" distB="0" distL="0" distR="0" wp14:anchorId="07DC86CC" wp14:editId="322C0678">
                            <wp:extent cx="5088890" cy="2528570"/>
                            <wp:effectExtent l="0" t="0" r="0" b="0"/>
                            <wp:docPr id="13364" name="Picture 13364"/>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0" cstate="print"/>
                                    <a:srcRect/>
                                    <a:stretch>
                                      <a:fillRect/>
                                    </a:stretch>
                                  </pic:blipFill>
                                  <pic:spPr bwMode="auto">
                                    <a:xfrm>
                                      <a:off x="0" y="0"/>
                                      <a:ext cx="5088890" cy="2528570"/>
                                    </a:xfrm>
                                    <a:prstGeom prst="rect">
                                      <a:avLst/>
                                    </a:prstGeom>
                                    <a:noFill/>
                                    <a:ln w="9525">
                                      <a:noFill/>
                                      <a:miter lim="800000"/>
                                      <a:headEnd/>
                                      <a:tailEnd/>
                                    </a:ln>
                                  </pic:spPr>
                                </pic:pic>
                              </a:graphicData>
                            </a:graphic>
                          </wp:inline>
                        </w:drawing>
                      </w:r>
                    </w:p>
                    <w:p w14:paraId="3AB34A8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En esta línea, empieza a cambiar en el ámbito empresarial el concepto tradicional de los pobres necesitados para empezar a considerarles como potenciales consumidores y como trabajadores y emprendedores con alta capacidad de desempeño. Bajo esta premisa emerge un nuevo enfoque que implica el “asociarse con ellos para innovar y lograr escenarios ganadores en los cuales los pobres estén activamente comprometidos y donde, al mismo tiempo, las compañías que les suministran productos y servicios sean rentables.” (Prahalad; 2005:6) .</w:t>
                      </w:r>
                    </w:p>
                    <w:p w14:paraId="0B3F9BA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243116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1FED3E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8138BE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0EAC7A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9F94A8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BABD04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59618A4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E02D43C"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 ¿A quiénes pretenden incluir los Negocios Inclusivos?. El concepto de la Base de la Pirámide.</w:t>
                      </w:r>
                    </w:p>
                    <w:p w14:paraId="1D94C0BD" w14:textId="77777777" w:rsidR="00D41FC4" w:rsidRPr="00C75EB7" w:rsidRDefault="00D41FC4" w:rsidP="00C75EB7">
                      <w:pPr>
                        <w:widowControl w:val="0"/>
                        <w:autoSpaceDE w:val="0"/>
                        <w:autoSpaceDN w:val="0"/>
                        <w:adjustRightInd w:val="0"/>
                        <w:spacing w:before="120" w:after="30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Los negocios inclusivos se enfocan en el segmento socio-demográfico compuesto por la población pobre situada en el estrato económico inferior y se cuantifica en los 4000 millones de personas que viven con un ingreso diario inferior a dos dólares, (en paridad de poder adquisitivo). A este segmento de la población mundial se la conoce como Base de la Pirámide (Prahalad, 2005).</w:t>
                      </w:r>
                    </w:p>
                    <w:p w14:paraId="6EB2DC50" w14:textId="77777777" w:rsidR="00D41FC4" w:rsidRPr="00C75EB7" w:rsidRDefault="00D41FC4" w:rsidP="00C75EB7">
                      <w:pPr>
                        <w:widowControl w:val="0"/>
                        <w:autoSpaceDE w:val="0"/>
                        <w:autoSpaceDN w:val="0"/>
                        <w:adjustRightInd w:val="0"/>
                        <w:spacing w:before="120" w:after="30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La Base de la Pirámide se caracteriza principalmente por operar en la economía informal, tener un amplio número de necesidades básicas insatisfechas, así como restricciones que les impiden participar activamente en las economías de mercado, careciendo de acceso a bienes y servicios para garantizar su propio desarrollo.</w:t>
                      </w:r>
                    </w:p>
                    <w:p w14:paraId="5EBAD81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Sin embargo, si cambiamos la perspectiva, podemos observar el sector como un mercado estimulante y de  rápido crecimiento. Colectivamente, los miles de millones de pobres del mundo, especialmente en Asia, África y en regiones de Europa del Este y América Latina y el Caribe, tienen enormes capacidades empresariales y de compra.</w:t>
                      </w:r>
                    </w:p>
                    <w:p w14:paraId="4101652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El nuevo rol de las empresas como agente que asume su responsabilidad frente a problemas de pobreza y exclusión social y el cambio de paradigma en el que los segmentos desfavorecidos empiezan a considerarse como interesantes nichos de negocio, han permitido el desarrollo del concepto de negocios inclusivos.</w:t>
                      </w:r>
                    </w:p>
                    <w:p w14:paraId="6D91EE0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Desde este punto de partida se  han venido elaborando </w:t>
                      </w:r>
                      <w:r w:rsidRPr="00C75EB7">
                        <w:rPr>
                          <w:rFonts w:ascii="Arial" w:hAnsi="Arial" w:cs="Arial"/>
                          <w:color w:val="FFFFFF" w:themeColor="background1"/>
                          <w:sz w:val="56"/>
                          <w:szCs w:val="56"/>
                        </w:rPr>
                        <w:tab/>
                        <w:t>un cuerpo</w:t>
                      </w:r>
                      <w:r w:rsidRPr="00C75EB7">
                        <w:rPr>
                          <w:rFonts w:ascii="Arial" w:hAnsi="Arial" w:cs="Arial"/>
                          <w:color w:val="FFFFFF" w:themeColor="background1"/>
                          <w:sz w:val="56"/>
                          <w:szCs w:val="56"/>
                        </w:rPr>
                        <w:tab/>
                        <w:t>de conceptos, principalmente</w:t>
                      </w:r>
                      <w:r w:rsidRPr="00C75EB7">
                        <w:rPr>
                          <w:rFonts w:ascii="Arial" w:hAnsi="Arial" w:cs="Arial"/>
                          <w:color w:val="FFFFFF" w:themeColor="background1"/>
                          <w:sz w:val="56"/>
                          <w:szCs w:val="56"/>
                        </w:rPr>
                        <w:tab/>
                        <w:t>desde</w:t>
                      </w:r>
                      <w:r w:rsidRPr="00C75EB7">
                        <w:rPr>
                          <w:rFonts w:ascii="Arial" w:hAnsi="Arial" w:cs="Arial"/>
                          <w:color w:val="FFFFFF" w:themeColor="background1"/>
                          <w:sz w:val="56"/>
                          <w:szCs w:val="56"/>
                        </w:rPr>
                        <w:tab/>
                        <w:t>las</w:t>
                      </w:r>
                      <w:r w:rsidRPr="00C75EB7">
                        <w:rPr>
                          <w:rFonts w:ascii="Arial" w:hAnsi="Arial" w:cs="Arial"/>
                          <w:color w:val="FFFFFF" w:themeColor="background1"/>
                          <w:sz w:val="56"/>
                          <w:szCs w:val="56"/>
                        </w:rPr>
                        <w:tab/>
                        <w:t>organizaciones internacionales de desarrollo y desde las escuelas de administración, que describen los alcances y el propósito</w:t>
                      </w:r>
                      <w:r w:rsidRPr="00C75EB7">
                        <w:rPr>
                          <w:rFonts w:ascii="Arial" w:hAnsi="Arial" w:cs="Arial"/>
                          <w:color w:val="FFFFFF" w:themeColor="background1"/>
                          <w:sz w:val="56"/>
                          <w:szCs w:val="56"/>
                        </w:rPr>
                        <w:tab/>
                        <w:t>de los</w:t>
                      </w:r>
                      <w:r w:rsidRPr="00C75EB7">
                        <w:rPr>
                          <w:rFonts w:ascii="Arial" w:hAnsi="Arial" w:cs="Arial"/>
                          <w:color w:val="FFFFFF" w:themeColor="background1"/>
                          <w:sz w:val="56"/>
                          <w:szCs w:val="56"/>
                        </w:rPr>
                        <w:tab/>
                        <w:t>negocios</w:t>
                      </w:r>
                      <w:r w:rsidRPr="00C75EB7">
                        <w:rPr>
                          <w:rFonts w:ascii="Arial" w:hAnsi="Arial" w:cs="Arial"/>
                          <w:color w:val="FFFFFF" w:themeColor="background1"/>
                          <w:sz w:val="56"/>
                          <w:szCs w:val="56"/>
                        </w:rPr>
                        <w:tab/>
                        <w:t xml:space="preserve">inclusivos. </w:t>
                      </w:r>
                      <w:r w:rsidRPr="00C75EB7">
                        <w:rPr>
                          <w:rFonts w:ascii="Arial" w:hAnsi="Arial" w:cs="Arial"/>
                          <w:color w:val="FFFFFF" w:themeColor="background1"/>
                          <w:sz w:val="56"/>
                          <w:szCs w:val="56"/>
                        </w:rPr>
                        <w:tab/>
                        <w:t>En este capítulo adoptamos la definición e AVINA según la cual los Negocios Inclusivos son:</w:t>
                      </w:r>
                    </w:p>
                    <w:p w14:paraId="1265FF4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Arial" w:hAnsi="Arial" w:cs="Arial"/>
                          <w:color w:val="FFFFFF" w:themeColor="background1"/>
                          <w:sz w:val="56"/>
                          <w:szCs w:val="56"/>
                        </w:rPr>
                      </w:pPr>
                    </w:p>
                    <w:p w14:paraId="6DFF1431"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noProof/>
                          <w:color w:val="FFFFFF" w:themeColor="background1"/>
                          <w:sz w:val="56"/>
                          <w:szCs w:val="56"/>
                          <w:lang w:val="en-US"/>
                        </w:rPr>
                        <w:drawing>
                          <wp:inline distT="0" distB="0" distL="0" distR="0" wp14:anchorId="5E00F293" wp14:editId="6566C818">
                            <wp:extent cx="3648710" cy="2519680"/>
                            <wp:effectExtent l="0" t="0" r="0" b="0"/>
                            <wp:docPr id="13365" name="Picture 1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648710" cy="2519680"/>
                                    </a:xfrm>
                                    <a:prstGeom prst="rect">
                                      <a:avLst/>
                                    </a:prstGeom>
                                    <a:noFill/>
                                    <a:ln w="9525">
                                      <a:noFill/>
                                      <a:miter lim="800000"/>
                                      <a:headEnd/>
                                      <a:tailEnd/>
                                    </a:ln>
                                  </pic:spPr>
                                </pic:pic>
                              </a:graphicData>
                            </a:graphic>
                          </wp:inline>
                        </w:drawing>
                      </w:r>
                      <w:r w:rsidRPr="00C75EB7">
                        <w:rPr>
                          <w:rFonts w:ascii="Arial" w:hAnsi="Arial" w:cs="Arial"/>
                          <w:color w:val="FFFFFF" w:themeColor="background1"/>
                          <w:sz w:val="56"/>
                          <w:szCs w:val="56"/>
                        </w:rPr>
                        <w:t>“Iniciativas empresariales económicamente rentables, y ambiental / socialmente responsables, que en una lógica de mutuo beneficio incorporan en sus cadenas de valor a comunidades de bajos ingresos y mejoran su calidad de vida a través de:</w:t>
                      </w:r>
                      <w:r w:rsidRPr="00C75EB7">
                        <w:rPr>
                          <w:rFonts w:ascii="Arial" w:eastAsia="MS Gothic" w:hAnsi="Arial" w:cs="Arial"/>
                          <w:color w:val="FFFFFF" w:themeColor="background1"/>
                          <w:sz w:val="56"/>
                          <w:szCs w:val="56"/>
                        </w:rPr>
                        <w:t> </w:t>
                      </w:r>
                    </w:p>
                    <w:p w14:paraId="6DB68DFD" w14:textId="77777777" w:rsidR="00D41FC4" w:rsidRPr="00C75EB7" w:rsidRDefault="00D41FC4" w:rsidP="00C75EB7">
                      <w:pPr>
                        <w:widowControl w:val="0"/>
                        <w:autoSpaceDE w:val="0"/>
                        <w:autoSpaceDN w:val="0"/>
                        <w:adjustRightInd w:val="0"/>
                        <w:spacing w:after="280" w:line="360" w:lineRule="auto"/>
                        <w:ind w:left="720"/>
                        <w:jc w:val="both"/>
                        <w:rPr>
                          <w:rFonts w:ascii="Arial" w:hAnsi="Arial" w:cs="Arial"/>
                          <w:color w:val="FFFFFF" w:themeColor="background1"/>
                          <w:sz w:val="56"/>
                          <w:szCs w:val="56"/>
                        </w:rPr>
                      </w:pPr>
                      <w:r w:rsidRPr="00C75EB7">
                        <w:rPr>
                          <w:rFonts w:ascii="Arial" w:eastAsia="MS Gothic" w:hAnsi="Arial" w:cs="Arial"/>
                          <w:color w:val="FFFFFF" w:themeColor="background1"/>
                          <w:sz w:val="56"/>
                          <w:szCs w:val="56"/>
                        </w:rPr>
                        <w:t> </w:t>
                      </w:r>
                      <w:r w:rsidRPr="00C75EB7">
                        <w:rPr>
                          <w:rFonts w:ascii="Arial" w:hAnsi="Arial" w:cs="Arial"/>
                          <w:color w:val="FFFFFF" w:themeColor="background1"/>
                          <w:sz w:val="56"/>
                          <w:szCs w:val="56"/>
                        </w:rPr>
                        <w:t>• su participación en la cadena de valor como agentes que agregan valor a bienes o servicios, proveedores de materia prima, o vendedores/distribuidores de bienes o servicios; y/o</w:t>
                      </w:r>
                    </w:p>
                    <w:p w14:paraId="0F721C39" w14:textId="77777777" w:rsidR="00D41FC4" w:rsidRPr="00C75EB7" w:rsidRDefault="00D41FC4" w:rsidP="00C75EB7">
                      <w:pPr>
                        <w:widowControl w:val="0"/>
                        <w:autoSpaceDE w:val="0"/>
                        <w:autoSpaceDN w:val="0"/>
                        <w:adjustRightInd w:val="0"/>
                        <w:spacing w:after="280" w:line="360" w:lineRule="auto"/>
                        <w:ind w:left="720"/>
                        <w:jc w:val="both"/>
                        <w:rPr>
                          <w:rFonts w:ascii="Arial" w:hAnsi="Arial" w:cs="Arial"/>
                          <w:color w:val="FFFFFF" w:themeColor="background1"/>
                          <w:sz w:val="56"/>
                          <w:szCs w:val="56"/>
                        </w:rPr>
                      </w:pPr>
                      <w:r w:rsidRPr="00C75EB7">
                        <w:rPr>
                          <w:rFonts w:ascii="Arial" w:hAnsi="Arial" w:cs="Arial"/>
                          <w:color w:val="FFFFFF" w:themeColor="background1"/>
                          <w:sz w:val="56"/>
                          <w:szCs w:val="56"/>
                        </w:rPr>
                        <w:t>• su acceso a servicios básicos esenciales o necesidades básicas insatisfechas de mejor calidad o a menor precio”.</w:t>
                      </w:r>
                    </w:p>
                    <w:p w14:paraId="27B16D2F"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 partir de esta definición, analizamos en las siguientes secciones los beneficios y retos de este tipo de negocios.</w:t>
                      </w:r>
                    </w:p>
                    <w:p w14:paraId="5CB65992"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Los beneficios de los negocios inclusivos para las empresas y para la Base de la Pirámide</w:t>
                      </w:r>
                    </w:p>
                    <w:p w14:paraId="5A972A67"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¿Por qué se interesan las empresas en la Base de la Pirámide?</w:t>
                      </w:r>
                    </w:p>
                    <w:p w14:paraId="74428EA0"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Los beneficios para las empresas</w:t>
                      </w:r>
                    </w:p>
                    <w:p w14:paraId="38668ED4"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Beneficios de incluir a los pobres en la cadena de valor empresarial como consumidores</w:t>
                      </w:r>
                    </w:p>
                    <w:p w14:paraId="51823AD9"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En primer lugar, el cambio de paradigma descrito anteriormente y la toma conciencia de que este sector socioeconómico representa un gran porcentaje de la población  con necesidades de bienes y servicios no cubiertas (</w:t>
                      </w:r>
                      <w:r w:rsidRPr="00C75EB7">
                        <w:rPr>
                          <w:rFonts w:ascii="Arial" w:hAnsi="Arial" w:cs="Arial"/>
                          <w:b/>
                          <w:color w:val="FFFFFF" w:themeColor="background1"/>
                          <w:sz w:val="56"/>
                          <w:szCs w:val="56"/>
                        </w:rPr>
                        <w:t>consumidores potenciales),</w:t>
                      </w:r>
                      <w:r w:rsidRPr="00C75EB7">
                        <w:rPr>
                          <w:rFonts w:ascii="Arial" w:hAnsi="Arial" w:cs="Arial"/>
                          <w:color w:val="FFFFFF" w:themeColor="background1"/>
                          <w:sz w:val="56"/>
                          <w:szCs w:val="56"/>
                        </w:rPr>
                        <w:t xml:space="preserve"> supone </w:t>
                      </w:r>
                      <w:r w:rsidRPr="00C75EB7">
                        <w:rPr>
                          <w:rFonts w:ascii="Arial" w:hAnsi="Arial" w:cs="Arial"/>
                          <w:b/>
                          <w:color w:val="FFFFFF" w:themeColor="background1"/>
                          <w:sz w:val="56"/>
                          <w:szCs w:val="56"/>
                        </w:rPr>
                        <w:t>una oportunidad para las empresas de crecer y desarrollar nuevos mercados.</w:t>
                      </w:r>
                      <w:r w:rsidRPr="00C75EB7">
                        <w:rPr>
                          <w:rFonts w:ascii="Arial" w:hAnsi="Arial" w:cs="Arial"/>
                          <w:color w:val="FFFFFF" w:themeColor="background1"/>
                          <w:sz w:val="56"/>
                          <w:szCs w:val="56"/>
                        </w:rPr>
                        <w:t xml:space="preserve"> Una vez que las empresas cambian su perspectiva frente a los sectores excluidos, se abren oportunidades para buscar fórmulas y diseñar productos y servicios que se adapten a las necesidades de estos mercado no cubiertos. </w:t>
                      </w:r>
                    </w:p>
                    <w:p w14:paraId="0C187CE3" w14:textId="77777777" w:rsidR="00D41FC4" w:rsidRPr="00C75EB7" w:rsidRDefault="00D41FC4" w:rsidP="00C75EB7">
                      <w:pPr>
                        <w:widowControl w:val="0"/>
                        <w:autoSpaceDE w:val="0"/>
                        <w:autoSpaceDN w:val="0"/>
                        <w:adjustRightInd w:val="0"/>
                        <w:spacing w:after="28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En el marco de estos nuevos modelos, las empresa se beneficia doblemente, </w:t>
                      </w:r>
                      <w:r w:rsidRPr="00C75EB7">
                        <w:rPr>
                          <w:rFonts w:ascii="Arial" w:hAnsi="Arial" w:cs="Arial"/>
                          <w:b/>
                          <w:color w:val="FFFFFF" w:themeColor="background1"/>
                          <w:sz w:val="56"/>
                          <w:szCs w:val="56"/>
                        </w:rPr>
                        <w:t>generando rentabilidad</w:t>
                      </w:r>
                      <w:r w:rsidRPr="00C75EB7">
                        <w:rPr>
                          <w:rFonts w:ascii="Arial" w:hAnsi="Arial" w:cs="Arial"/>
                          <w:color w:val="FFFFFF" w:themeColor="background1"/>
                          <w:sz w:val="56"/>
                          <w:szCs w:val="56"/>
                        </w:rPr>
                        <w:t xml:space="preserve"> y al mismo tiempo fomentando el desarrollo económico para los excluidos, lo que contribuye, a su vez, a mejorar su </w:t>
                      </w:r>
                      <w:r w:rsidRPr="00C75EB7">
                        <w:rPr>
                          <w:rFonts w:ascii="Arial" w:hAnsi="Arial" w:cs="Arial"/>
                          <w:b/>
                          <w:color w:val="FFFFFF" w:themeColor="background1"/>
                          <w:sz w:val="56"/>
                          <w:szCs w:val="56"/>
                        </w:rPr>
                        <w:t>reputación.</w:t>
                      </w:r>
                      <w:r w:rsidRPr="00C75EB7">
                        <w:rPr>
                          <w:rFonts w:ascii="Arial" w:hAnsi="Arial" w:cs="Arial"/>
                          <w:color w:val="FFFFFF" w:themeColor="background1"/>
                          <w:sz w:val="56"/>
                          <w:szCs w:val="56"/>
                        </w:rPr>
                        <w:t xml:space="preserve"> La búsqueda de soluciones creativas para desarrollar productos y servicios que se adapten a nuevos mercados también impulsa la </w:t>
                      </w:r>
                      <w:r w:rsidRPr="00C75EB7">
                        <w:rPr>
                          <w:rFonts w:ascii="Arial" w:hAnsi="Arial" w:cs="Arial"/>
                          <w:b/>
                          <w:color w:val="FFFFFF" w:themeColor="background1"/>
                          <w:sz w:val="56"/>
                          <w:szCs w:val="56"/>
                        </w:rPr>
                        <w:t>capacidad de innovar</w:t>
                      </w:r>
                      <w:r w:rsidRPr="00C75EB7">
                        <w:rPr>
                          <w:rFonts w:ascii="Arial" w:hAnsi="Arial" w:cs="Arial"/>
                          <w:color w:val="FFFFFF" w:themeColor="background1"/>
                          <w:sz w:val="56"/>
                          <w:szCs w:val="56"/>
                        </w:rPr>
                        <w:t xml:space="preserve"> de la empresa. Por ejemplo, la multinacional de telecomunicaciones Motorola ha desarrollado un micro-teléfono según las características y las necesidades de un segmento de la población de bajos ingresos en India. El precio del teléfono es 30 dólares y fue desarrollado para poder dar instrucciones al usuario por medio de audio en lugar de texto, en el caso de que el usuario no sepa leer y escribir. Además, la pantalla es reflectante para que se pueda usar sin problemas en exteriores, y la batería tiene un tiempo de </w:t>
                      </w:r>
                      <w:r w:rsidRPr="00C75EB7">
                        <w:rPr>
                          <w:rFonts w:ascii="Arial" w:hAnsi="Arial" w:cs="Arial"/>
                          <w:noProof/>
                          <w:color w:val="FFFFFF" w:themeColor="background1"/>
                          <w:sz w:val="56"/>
                          <w:szCs w:val="56"/>
                          <w:lang w:val="en-US"/>
                        </w:rPr>
                        <w:drawing>
                          <wp:inline distT="0" distB="0" distL="0" distR="0" wp14:anchorId="331720A1" wp14:editId="194B8726">
                            <wp:extent cx="5234940" cy="2993390"/>
                            <wp:effectExtent l="0" t="0" r="0" b="0"/>
                            <wp:docPr id="13366" name="Picture 1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34940" cy="2993390"/>
                                    </a:xfrm>
                                    <a:prstGeom prst="rect">
                                      <a:avLst/>
                                    </a:prstGeom>
                                    <a:noFill/>
                                  </pic:spPr>
                                </pic:pic>
                              </a:graphicData>
                            </a:graphic>
                          </wp:inline>
                        </w:drawing>
                      </w:r>
                      <w:r w:rsidRPr="00C75EB7">
                        <w:rPr>
                          <w:rFonts w:ascii="Arial" w:hAnsi="Arial" w:cs="Arial"/>
                          <w:color w:val="FFFFFF" w:themeColor="background1"/>
                          <w:sz w:val="56"/>
                          <w:szCs w:val="56"/>
                        </w:rPr>
                        <w:t>reserva de dos semanas (Hammond et al., 2007).</w:t>
                      </w:r>
                    </w:p>
                    <w:p w14:paraId="227BD314"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Beneficios de incluir a los pobres en la cadena de valor como proveedores, vendedores o distribuidores</w:t>
                      </w:r>
                    </w:p>
                    <w:p w14:paraId="035D6C1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En segundo lugar, el otro cambio de paradigma, el que supone una visión de los pobres como posibles agentes que agregan valor, en tanto que proveedores de materia prima, o vendedores/distribuidores de bienes o servicios, también aporta beneficios a las empresas. </w:t>
                      </w:r>
                    </w:p>
                    <w:p w14:paraId="3208E00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Este nuevo enfoque permite </w:t>
                      </w:r>
                      <w:r w:rsidRPr="00C75EB7">
                        <w:rPr>
                          <w:rFonts w:ascii="Arial" w:hAnsi="Arial" w:cs="Arial"/>
                          <w:b/>
                          <w:color w:val="FFFFFF" w:themeColor="background1"/>
                          <w:sz w:val="56"/>
                          <w:szCs w:val="56"/>
                        </w:rPr>
                        <w:t>aumentar la fiabilidad en la cadena de valor</w:t>
                      </w:r>
                      <w:r w:rsidRPr="00C75EB7">
                        <w:rPr>
                          <w:rFonts w:ascii="Arial" w:hAnsi="Arial" w:cs="Arial"/>
                          <w:color w:val="FFFFFF" w:themeColor="background1"/>
                          <w:sz w:val="56"/>
                          <w:szCs w:val="56"/>
                        </w:rPr>
                        <w:t xml:space="preserve"> ampliando las posibilidades de reducir costes y mejorar la flexibilidad  y  el desarrollo de las propias empresas en los países en desarrollo. Además,  en  muchos casos, los negocios inclusivos permiten </w:t>
                      </w:r>
                      <w:r w:rsidRPr="00C75EB7">
                        <w:rPr>
                          <w:rFonts w:ascii="Arial" w:hAnsi="Arial" w:cs="Arial"/>
                          <w:b/>
                          <w:color w:val="FFFFFF" w:themeColor="background1"/>
                          <w:sz w:val="56"/>
                          <w:szCs w:val="56"/>
                        </w:rPr>
                        <w:t>mejorar los canales de distribución</w:t>
                      </w:r>
                      <w:r w:rsidRPr="00C75EB7">
                        <w:rPr>
                          <w:rFonts w:ascii="Arial" w:hAnsi="Arial" w:cs="Arial"/>
                          <w:color w:val="FFFFFF" w:themeColor="background1"/>
                          <w:sz w:val="56"/>
                          <w:szCs w:val="56"/>
                        </w:rPr>
                        <w:t>, aportando nuevos modelos de entrega de productos y servicios en los que la población de bajos ingresos se sienten incluidos.</w:t>
                      </w:r>
                    </w:p>
                    <w:p w14:paraId="1986A045"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Los beneficios para la Base de la Pirámide</w:t>
                      </w:r>
                    </w:p>
                    <w:p w14:paraId="5CBF2DF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
                          <w:color w:val="FFFFFF" w:themeColor="background1"/>
                          <w:sz w:val="56"/>
                          <w:szCs w:val="56"/>
                        </w:rPr>
                        <w:t xml:space="preserve">Al diseñar productos y servicios a adaptados a las necesidades de la Base de la Pirámide los </w:t>
                      </w:r>
                      <w:r w:rsidRPr="00C75EB7">
                        <w:rPr>
                          <w:rFonts w:ascii="Arial" w:hAnsi="Arial" w:cs="Arial"/>
                          <w:color w:val="FFFFFF" w:themeColor="background1"/>
                          <w:sz w:val="56"/>
                          <w:szCs w:val="56"/>
                        </w:rPr>
                        <w:t xml:space="preserve"> negocios inclusivos pueden ayudar a la población de bajos ingresos a satisfacer sus necesidades básicas de alimentos, suministros de salud, agua, saneamiento y vivienda, mejorando su acceso a estos productos o servicios</w:t>
                      </w:r>
                    </w:p>
                    <w:p w14:paraId="2D54223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FB199F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noProof/>
                          <w:color w:val="FFFFFF" w:themeColor="background1"/>
                          <w:sz w:val="56"/>
                          <w:szCs w:val="56"/>
                          <w:lang w:val="en-US"/>
                        </w:rPr>
                        <w:drawing>
                          <wp:inline distT="0" distB="0" distL="0" distR="0" wp14:anchorId="018C7B4D" wp14:editId="0562D8D2">
                            <wp:extent cx="5040419" cy="2913321"/>
                            <wp:effectExtent l="25400" t="0" r="0" b="0"/>
                            <wp:docPr id="133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056402" cy="2922559"/>
                                    </a:xfrm>
                                    <a:prstGeom prst="rect">
                                      <a:avLst/>
                                    </a:prstGeom>
                                    <a:noFill/>
                                  </pic:spPr>
                                </pic:pic>
                              </a:graphicData>
                            </a:graphic>
                          </wp:inline>
                        </w:drawing>
                      </w:r>
                      <w:r w:rsidRPr="00C75EB7">
                        <w:rPr>
                          <w:rFonts w:ascii="Arial" w:hAnsi="Arial" w:cs="Arial"/>
                          <w:color w:val="FFFFFF" w:themeColor="background1"/>
                          <w:sz w:val="56"/>
                          <w:szCs w:val="56"/>
                        </w:rPr>
                        <w:t xml:space="preserve">Una vez incluidos en la cadena de valor, los pobres suelen </w:t>
                      </w:r>
                      <w:r w:rsidRPr="00C75EB7">
                        <w:rPr>
                          <w:rFonts w:ascii="Arial" w:hAnsi="Arial" w:cs="Arial"/>
                          <w:b/>
                          <w:color w:val="FFFFFF" w:themeColor="background1"/>
                          <w:sz w:val="56"/>
                          <w:szCs w:val="56"/>
                        </w:rPr>
                        <w:t xml:space="preserve">incrementar su productividad </w:t>
                      </w:r>
                      <w:r w:rsidRPr="00C75EB7">
                        <w:rPr>
                          <w:rFonts w:ascii="Arial" w:hAnsi="Arial" w:cs="Arial"/>
                          <w:color w:val="FFFFFF" w:themeColor="background1"/>
                          <w:sz w:val="56"/>
                          <w:szCs w:val="56"/>
                        </w:rPr>
                        <w:t xml:space="preserve">a través del acceso a equipamiento de producción, servicios financieros, tecnologías de la información y  a las comunicaciones, entre otros. Otro efecto importante es la </w:t>
                      </w:r>
                      <w:r w:rsidRPr="00C75EB7">
                        <w:rPr>
                          <w:rFonts w:ascii="Arial" w:hAnsi="Arial" w:cs="Arial"/>
                          <w:b/>
                          <w:color w:val="FFFFFF" w:themeColor="background1"/>
                          <w:sz w:val="56"/>
                          <w:szCs w:val="56"/>
                        </w:rPr>
                        <w:t>mejora de capacidades.</w:t>
                      </w:r>
                      <w:r w:rsidRPr="00C75EB7">
                        <w:rPr>
                          <w:rFonts w:ascii="Arial" w:hAnsi="Arial" w:cs="Arial"/>
                          <w:color w:val="FFFFFF" w:themeColor="background1"/>
                          <w:sz w:val="56"/>
                          <w:szCs w:val="56"/>
                        </w:rPr>
                        <w:t xml:space="preserve"> En este sentido, los pobres suelen carecer de capacidades de gestión y organización y de acceso a la tecnología, lo que les deja frecuentemente en una situación de desventaja competitiva en el mercado. Los negocios inclusivos aportan soluciones desarrollando las capacidades de los pobres.</w:t>
                      </w:r>
                    </w:p>
                    <w:p w14:paraId="2B6D11A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El aumento de la productividad y mejora de sus capacidades y las nuevas oportunidades económicas que se les presentan, ya sea como empleados, proveedores, distribuidores o socios de las empresas les permite también </w:t>
                      </w:r>
                      <w:r w:rsidRPr="00C75EB7">
                        <w:rPr>
                          <w:rFonts w:ascii="Arial" w:hAnsi="Arial" w:cs="Arial"/>
                          <w:b/>
                          <w:color w:val="FFFFFF" w:themeColor="background1"/>
                          <w:sz w:val="56"/>
                          <w:szCs w:val="56"/>
                        </w:rPr>
                        <w:t>aumentar sus ingresos y salir en muchos casos de su situación de exclusión y pobreza</w:t>
                      </w:r>
                      <w:r w:rsidRPr="00C75EB7">
                        <w:rPr>
                          <w:rFonts w:ascii="Arial" w:hAnsi="Arial" w:cs="Arial"/>
                          <w:color w:val="FFFFFF" w:themeColor="background1"/>
                          <w:sz w:val="56"/>
                          <w:szCs w:val="56"/>
                        </w:rPr>
                        <w:t>.</w:t>
                      </w:r>
                    </w:p>
                    <w:p w14:paraId="124AAA28"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Algunos retos a los que se enfrentan las empresas para diseñar estrategias de negocios inclusivos y algunas propuestas para superarlos</w:t>
                      </w:r>
                    </w:p>
                    <w:p w14:paraId="556E7162"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900A6E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Si los beneficios son tan numerosos, ¿por qué no hay una inversión significativa en estos mercados por parte de la mayoría de las empresas?</w:t>
                      </w:r>
                    </w:p>
                    <w:p w14:paraId="7910A24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Existe un conjunto de restricciones en las condiciones de mercado que rodean a los pobres, que pueden convertir cualquier negocio en una iniciativa difícil, arriesgada y cara. A continuación se detallan algunas de esas restricciones y algunas propuestas para superarlas o mitigarlas:</w:t>
                      </w:r>
                    </w:p>
                    <w:p w14:paraId="0E2E188C"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Desconocimiento del sector</w:t>
                      </w:r>
                    </w:p>
                    <w:p w14:paraId="1970607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
                          <w:color w:val="FFFFFF" w:themeColor="background1"/>
                          <w:sz w:val="56"/>
                          <w:szCs w:val="56"/>
                        </w:rPr>
                        <w:t xml:space="preserve">El primer reto está relacionado con la falta de conocimiento que tienen las empresas sobre el sector de la Base de la Pirámide, </w:t>
                      </w:r>
                      <w:r w:rsidRPr="00C75EB7">
                        <w:rPr>
                          <w:rFonts w:ascii="Arial" w:hAnsi="Arial" w:cs="Arial"/>
                          <w:color w:val="FFFFFF" w:themeColor="background1"/>
                          <w:sz w:val="56"/>
                          <w:szCs w:val="56"/>
                        </w:rPr>
                        <w:t>sus preferencias, el tipo de productos que necesitan y a los que pueden tener acceso con sus recursos limitados, así como qué tipo de productos y capacidades pueden aportar como empleados, productores o emprendedores.</w:t>
                      </w:r>
                    </w:p>
                    <w:p w14:paraId="07328D0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b/>
                          <w:color w:val="FFFFFF" w:themeColor="background1"/>
                          <w:sz w:val="56"/>
                          <w:szCs w:val="56"/>
                        </w:rPr>
                      </w:pPr>
                      <w:r w:rsidRPr="00C75EB7">
                        <w:rPr>
                          <w:rFonts w:ascii="Arial" w:hAnsi="Arial" w:cs="Arial"/>
                          <w:color w:val="FFFFFF" w:themeColor="background1"/>
                          <w:sz w:val="56"/>
                          <w:szCs w:val="56"/>
                        </w:rPr>
                        <w:t xml:space="preserve">Para superar este reto y aumentar el conocimiento del contexto social y empresarial local, las empresas pueden empezar </w:t>
                      </w:r>
                      <w:r w:rsidRPr="00C75EB7">
                        <w:rPr>
                          <w:rFonts w:ascii="Arial" w:hAnsi="Arial" w:cs="Arial"/>
                          <w:b/>
                          <w:color w:val="FFFFFF" w:themeColor="background1"/>
                          <w:sz w:val="56"/>
                          <w:szCs w:val="56"/>
                        </w:rPr>
                        <w:t>por apalancar las fortalezas de los pobres</w:t>
                      </w:r>
                      <w:r w:rsidRPr="00C75EB7">
                        <w:rPr>
                          <w:rFonts w:ascii="Arial" w:hAnsi="Arial" w:cs="Arial"/>
                          <w:color w:val="FFFFFF" w:themeColor="background1"/>
                          <w:sz w:val="56"/>
                          <w:szCs w:val="56"/>
                        </w:rPr>
                        <w:t xml:space="preserve"> consultando a los interesados, </w:t>
                      </w:r>
                      <w:r w:rsidRPr="00C75EB7">
                        <w:rPr>
                          <w:rFonts w:ascii="Arial" w:hAnsi="Arial" w:cs="Arial"/>
                          <w:b/>
                          <w:color w:val="FFFFFF" w:themeColor="background1"/>
                          <w:sz w:val="56"/>
                          <w:szCs w:val="56"/>
                        </w:rPr>
                        <w:t>analizando sus necesidades y adaptándose a ellas</w:t>
                      </w:r>
                      <w:r w:rsidRPr="00C75EB7">
                        <w:rPr>
                          <w:rFonts w:ascii="Arial" w:hAnsi="Arial" w:cs="Arial"/>
                          <w:color w:val="FFFFFF" w:themeColor="background1"/>
                          <w:sz w:val="56"/>
                          <w:szCs w:val="56"/>
                        </w:rPr>
                        <w:t xml:space="preserve"> y localizando los productos y servicios que necesitan. Para ello, es importante promover una actitud dinámica y flexible que permita adaptarse al cambio de contexto. Otro factor esencial a tener en cuenta, es la utilidad de </w:t>
                      </w:r>
                      <w:r w:rsidRPr="00C75EB7">
                        <w:rPr>
                          <w:rFonts w:ascii="Arial" w:hAnsi="Arial" w:cs="Arial"/>
                          <w:b/>
                          <w:color w:val="FFFFFF" w:themeColor="background1"/>
                          <w:sz w:val="56"/>
                          <w:szCs w:val="56"/>
                        </w:rPr>
                        <w:t>entender y comunicar los impactos</w:t>
                      </w:r>
                      <w:r w:rsidRPr="00C75EB7">
                        <w:rPr>
                          <w:rFonts w:ascii="Arial" w:hAnsi="Arial" w:cs="Arial"/>
                          <w:color w:val="FFFFFF" w:themeColor="background1"/>
                          <w:sz w:val="56"/>
                          <w:szCs w:val="56"/>
                        </w:rPr>
                        <w:t xml:space="preserve"> introduciendo indicadores de desempeño, realizando un seguimiento del progreso durante el proceso para poder identificar y analizar los mecanismos y modelos que más impacto tienen. Por último, en este sentido, es importante </w:t>
                      </w:r>
                      <w:r w:rsidRPr="00C75EB7">
                        <w:rPr>
                          <w:rFonts w:ascii="Arial" w:hAnsi="Arial" w:cs="Arial"/>
                          <w:b/>
                          <w:color w:val="FFFFFF" w:themeColor="background1"/>
                          <w:sz w:val="56"/>
                          <w:szCs w:val="56"/>
                        </w:rPr>
                        <w:t>compartir los resultados con los interesados e introducir las lecciones aprendidas.</w:t>
                      </w:r>
                    </w:p>
                    <w:p w14:paraId="395820ED"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Marco regulatorio</w:t>
                      </w:r>
                    </w:p>
                    <w:p w14:paraId="04F3FB7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Otro reto a tener en cuenta por las empresas está relacionado con el </w:t>
                      </w:r>
                      <w:r w:rsidRPr="00C75EB7">
                        <w:rPr>
                          <w:rFonts w:ascii="Arial" w:hAnsi="Arial" w:cs="Arial"/>
                          <w:b/>
                          <w:color w:val="FFFFFF" w:themeColor="background1"/>
                          <w:sz w:val="56"/>
                          <w:szCs w:val="56"/>
                        </w:rPr>
                        <w:t>marco regulatorio ineficiente</w:t>
                      </w:r>
                      <w:r w:rsidRPr="00C75EB7">
                        <w:rPr>
                          <w:rFonts w:ascii="Arial" w:hAnsi="Arial" w:cs="Arial"/>
                          <w:color w:val="FFFFFF" w:themeColor="background1"/>
                          <w:sz w:val="56"/>
                          <w:szCs w:val="56"/>
                        </w:rPr>
                        <w:t xml:space="preserve"> en el que se mueven los pobres, que supone inestabilidad jurídica para la actividad de las empresas.</w:t>
                      </w:r>
                    </w:p>
                    <w:p w14:paraId="1F02D62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ADD77E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Una posible estrategia para mejorar los marcos regulatorios ineficientes, consiste en Involucrarse en un diálogo con el gobierno e Invertir tiempo y recursos en mitigar o terminar con las restricciones de mercado. También puede ser útil analizar las reglas informales que las propias comunidades se fijan y hacen cumplir y que pueden contribuir a hacer viables los negocios inclusivos. </w:t>
                      </w:r>
                    </w:p>
                    <w:p w14:paraId="2D4E5A99"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Falta de infraestructura</w:t>
                      </w:r>
                    </w:p>
                    <w:p w14:paraId="31F66C7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Otra barrera importante es la</w:t>
                      </w:r>
                      <w:r w:rsidRPr="00C75EB7">
                        <w:rPr>
                          <w:rFonts w:ascii="Arial" w:hAnsi="Arial" w:cs="Arial"/>
                          <w:b/>
                          <w:color w:val="FFFFFF" w:themeColor="background1"/>
                          <w:sz w:val="56"/>
                          <w:szCs w:val="56"/>
                        </w:rPr>
                        <w:t xml:space="preserve"> falta de infraestructura en las zonas donde típicamente viven las personas desfavorecidas, </w:t>
                      </w:r>
                      <w:r w:rsidRPr="00C75EB7">
                        <w:rPr>
                          <w:rFonts w:ascii="Arial" w:hAnsi="Arial" w:cs="Arial"/>
                          <w:color w:val="FFFFFF" w:themeColor="background1"/>
                          <w:sz w:val="56"/>
                          <w:szCs w:val="56"/>
                        </w:rPr>
                        <w:t>especialmente en países en vías de desarrollo, lo que complica el establecimiento y desarrollo de nuevos negocios. Por ejemplo, el transporte suele ser complicado por la falta de carreteras o de infraestructura y muchas veces falta agua, electricidad o redes de comunicación.</w:t>
                      </w:r>
                    </w:p>
                    <w:p w14:paraId="55ABAC47"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Falta de formación de los pobres</w:t>
                      </w:r>
                    </w:p>
                    <w:p w14:paraId="35FD0F9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
                          <w:color w:val="FFFFFF" w:themeColor="background1"/>
                          <w:sz w:val="56"/>
                          <w:szCs w:val="56"/>
                        </w:rPr>
                        <w:t>Por otro lado, la falta de capacidades y conocimiento de los pobres</w:t>
                      </w:r>
                      <w:r w:rsidRPr="00C75EB7">
                        <w:rPr>
                          <w:rFonts w:ascii="Arial" w:hAnsi="Arial" w:cs="Arial"/>
                          <w:color w:val="FFFFFF" w:themeColor="background1"/>
                          <w:sz w:val="56"/>
                          <w:szCs w:val="56"/>
                        </w:rPr>
                        <w:t xml:space="preserve"> puede entorpecer su inclusión en la cadena de valor de las empresas como consumidores, proveedores o distribuidores. Por ejemplo, los consumidores de la base de la pirámide pueden no conocer los beneficios y la utilidad de un producto determinado o les pueden faltar las capacidades para utilizarlos adecuadamente. Como proveedores o distribuidores los pobres pueden no tener el conocimiento y las capacidades para proporcionar productos o servicios de calidad de forma consistente, puntual y con un precio determinado.</w:t>
                      </w:r>
                    </w:p>
                    <w:p w14:paraId="484BC7A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Para superar este reto, las empresas pueden buscar maneras de crear capacidad donde sea apropiado y promover la creación de asociaciones con organizaciones locales que conozcan la realidad de la comunidad y que cuenten con la confianza de sus miembros. Se trata de combinar los recursos y capacidades de distintos actores que cuentan con conocimiento útil para lograr la innovación y la adaptación de los modelos de la empresa a nuevas realidades, escuchando, aprendiendo y compartiendo experiencias con expertos y con los propios interesados. Por ejemplo Allianz, empresa de seguros alemana, trabaja con ONGs locales para explicar el concepto de microseguros en las comunidades con las que trabaja y para distribuirlo. Las ONGs aportan su red local, la confianza generada entre sus miembros y el conocimiento de las dinámicas y necesidades de los pobres. Por otro lado, Allianz aporta su tecnología y capacidad financiera. Este tipo de alianzas aprovecha y combina las capacidades complementarias de distintos tipos de actores y favorece el conocimiento de los nuevos productos o servicios en la comunidad. Para mejorar las capacidades de los pobres, muchos proyectos de negocios inclusivos incluyen programas de capacitación y formación</w:t>
                      </w:r>
                    </w:p>
                    <w:p w14:paraId="1E365909" w14:textId="77777777" w:rsidR="00D41FC4" w:rsidRPr="00C75EB7" w:rsidRDefault="00D41FC4" w:rsidP="00C75EB7">
                      <w:pPr>
                        <w:pStyle w:val="Heading3"/>
                        <w:numPr>
                          <w:ilvl w:val="2"/>
                          <w:numId w:val="0"/>
                        </w:numPr>
                        <w:spacing w:line="360" w:lineRule="auto"/>
                        <w:ind w:left="1440"/>
                        <w:jc w:val="both"/>
                        <w:rPr>
                          <w:rFonts w:ascii="Arial" w:hAnsi="Arial" w:cs="Arial"/>
                          <w:color w:val="FFFFFF" w:themeColor="background1"/>
                          <w:sz w:val="56"/>
                          <w:szCs w:val="56"/>
                        </w:rPr>
                      </w:pPr>
                      <w:r w:rsidRPr="00C75EB7">
                        <w:rPr>
                          <w:rFonts w:ascii="Arial" w:hAnsi="Arial" w:cs="Arial"/>
                          <w:color w:val="FFFFFF" w:themeColor="background1"/>
                          <w:sz w:val="56"/>
                          <w:szCs w:val="56"/>
                        </w:rPr>
                        <w:t>Acceso a productos financieros</w:t>
                      </w:r>
                    </w:p>
                    <w:p w14:paraId="2602772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
                          <w:color w:val="FFFFFF" w:themeColor="background1"/>
                          <w:sz w:val="56"/>
                          <w:szCs w:val="56"/>
                        </w:rPr>
                        <w:t>Finalmente, la falta de acceso a productos y servicios financieros</w:t>
                      </w:r>
                      <w:r w:rsidRPr="00C75EB7">
                        <w:rPr>
                          <w:rFonts w:ascii="Arial" w:hAnsi="Arial" w:cs="Arial"/>
                          <w:color w:val="FFFFFF" w:themeColor="background1"/>
                          <w:sz w:val="56"/>
                          <w:szCs w:val="56"/>
                        </w:rPr>
                        <w:t xml:space="preserve"> a la que se enfrentan los productores y consumidores de la base de la pirámide dificulta la financiación de sus inversiones o grandes compras. Al mismo tiempo, la falta de acceso a productos de seguro hace que no puedan proteger sus pocos activos e ingresos frente a riesgos como la enfermedad, o las inundaciones. En este sentido, las empresas pueden incluir mecanismos para mejorar el acceso a la financiación de las comunidades de la Base de la Pirámide.</w:t>
                      </w:r>
                    </w:p>
                    <w:p w14:paraId="47A2C912"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Tres casos de negocios inclusivos y cómo han resuelto los retos</w:t>
                      </w:r>
                    </w:p>
                    <w:p w14:paraId="4B089B9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 continuación se presentan tres casos de empresas que han incluido a la Base de la Pirámide en su cadena de valor:</w:t>
                      </w:r>
                    </w:p>
                    <w:p w14:paraId="2444F65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4AA902B" w14:textId="77777777" w:rsidR="00D41FC4" w:rsidRPr="00C75EB7" w:rsidRDefault="00D41FC4" w:rsidP="00C75EB7">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como consumidores (Allianz), </w:t>
                      </w:r>
                    </w:p>
                    <w:p w14:paraId="1E697613" w14:textId="77777777" w:rsidR="00D41FC4" w:rsidRPr="00C75EB7" w:rsidRDefault="00D41FC4" w:rsidP="00C75EB7">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como proveedores (Natura) o </w:t>
                      </w:r>
                    </w:p>
                    <w:p w14:paraId="4EE37012" w14:textId="77777777" w:rsidR="00D41FC4" w:rsidRPr="00C75EB7" w:rsidRDefault="00D41FC4" w:rsidP="00C75EB7">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como distribuidores (Coca-Cola). </w:t>
                      </w:r>
                    </w:p>
                    <w:p w14:paraId="064F5316"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C331FB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En cada caso se resumen algunas de las lecciones aprendidas y las medidas tomadas por estas empresas para superar las barreras iniciales.</w:t>
                      </w:r>
                    </w:p>
                    <w:p w14:paraId="4054E6E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42B1EF0"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DISEÑANDO PRODUCTOS DE SEGUROS PARA LA BASE DE LA PIRÁMIDE: ALLIANZ</w:t>
                      </w:r>
                    </w:p>
                    <w:tbl>
                      <w:tblPr>
                        <w:tblStyle w:val="LightList-Accent2"/>
                        <w:tblW w:w="0" w:type="auto"/>
                        <w:tblBorders>
                          <w:top w:val="single" w:sz="4" w:space="0" w:color="800000"/>
                          <w:left w:val="single" w:sz="4" w:space="0" w:color="800000"/>
                          <w:bottom w:val="single" w:sz="4" w:space="0" w:color="800000"/>
                          <w:right w:val="single" w:sz="4" w:space="0" w:color="800000"/>
                          <w:insideH w:val="single" w:sz="4" w:space="0" w:color="auto"/>
                        </w:tblBorders>
                        <w:tblLook w:val="00A0" w:firstRow="1" w:lastRow="0" w:firstColumn="1" w:lastColumn="0" w:noHBand="0" w:noVBand="0"/>
                      </w:tblPr>
                      <w:tblGrid>
                        <w:gridCol w:w="4199"/>
                        <w:gridCol w:w="5929"/>
                      </w:tblGrid>
                      <w:tr w:rsidR="00D41FC4" w:rsidRPr="00C75EB7" w14:paraId="537E922C" w14:textId="77777777" w:rsidTr="00B7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554E89B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sz w:val="56"/>
                                <w:szCs w:val="56"/>
                              </w:rPr>
                            </w:pPr>
                            <w:r w:rsidRPr="00C75EB7">
                              <w:rPr>
                                <w:rFonts w:ascii="Arial" w:eastAsiaTheme="minorHAnsi" w:hAnsi="Arial" w:cs="Arial"/>
                                <w:bCs w:val="0"/>
                                <w:sz w:val="56"/>
                                <w:szCs w:val="56"/>
                              </w:rPr>
                              <w:t>Empresa</w:t>
                            </w:r>
                          </w:p>
                        </w:tc>
                        <w:tc>
                          <w:tcPr>
                            <w:cnfStyle w:val="000010000000" w:firstRow="0" w:lastRow="0" w:firstColumn="0" w:lastColumn="0" w:oddVBand="1" w:evenVBand="0" w:oddHBand="0" w:evenHBand="0" w:firstRowFirstColumn="0" w:firstRowLastColumn="0" w:lastRowFirstColumn="0" w:lastRowLastColumn="0"/>
                            <w:tcW w:w="6802" w:type="dxa"/>
                          </w:tcPr>
                          <w:p w14:paraId="4105477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z w:val="56"/>
                                <w:szCs w:val="56"/>
                              </w:rPr>
                            </w:pPr>
                            <w:r w:rsidRPr="00C75EB7">
                              <w:rPr>
                                <w:rFonts w:ascii="Arial" w:hAnsi="Arial" w:cs="Arial"/>
                                <w:sz w:val="56"/>
                                <w:szCs w:val="56"/>
                              </w:rPr>
                              <w:t>ALLIANZ</w:t>
                            </w:r>
                          </w:p>
                          <w:p w14:paraId="02932C8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z w:val="56"/>
                                <w:szCs w:val="56"/>
                              </w:rPr>
                            </w:pPr>
                            <w:r w:rsidRPr="00C75EB7">
                              <w:rPr>
                                <w:rFonts w:ascii="Arial" w:hAnsi="Arial" w:cs="Arial"/>
                                <w:sz w:val="56"/>
                                <w:szCs w:val="56"/>
                              </w:rPr>
                              <w:t xml:space="preserve">Allianz es uno de los grupos aseguradores y proveedores de servicios financieros más importantes del mundo </w:t>
                            </w:r>
                            <w:r w:rsidRPr="00C75EB7">
                              <w:rPr>
                                <w:rFonts w:ascii="Arial" w:hAnsi="Arial" w:cs="Arial"/>
                                <w:bCs w:val="0"/>
                                <w:sz w:val="56"/>
                                <w:szCs w:val="56"/>
                              </w:rPr>
                              <w:t>presente en más de 70 países en los 5 continentes, donde 142.000 empleados de diferente nacionalidad, idioma, religión, formación y experiencia dan servicio a más de 78 millones de clientes</w:t>
                            </w:r>
                            <w:r w:rsidRPr="00C75EB7">
                              <w:rPr>
                                <w:rFonts w:ascii="Arial" w:hAnsi="Arial" w:cs="Arial"/>
                                <w:sz w:val="56"/>
                                <w:szCs w:val="56"/>
                              </w:rPr>
                              <w:t>. Sus ingresos ascendieron a más de 103.600 millones de euros a 31 de diciembre de 2011.</w:t>
                            </w:r>
                          </w:p>
                          <w:p w14:paraId="631FBC1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sz w:val="56"/>
                                <w:szCs w:val="56"/>
                              </w:rPr>
                            </w:pPr>
                          </w:p>
                        </w:tc>
                      </w:tr>
                      <w:tr w:rsidR="00D41FC4" w:rsidRPr="00C75EB7" w14:paraId="5A61E263"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39BA831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bCs w:val="0"/>
                                <w:color w:val="FFFFFF" w:themeColor="background1"/>
                                <w:sz w:val="56"/>
                                <w:szCs w:val="56"/>
                              </w:rPr>
                              <w:t>Concepto de negocio inclusivo</w:t>
                            </w:r>
                          </w:p>
                        </w:tc>
                        <w:tc>
                          <w:tcPr>
                            <w:cnfStyle w:val="000010000000" w:firstRow="0" w:lastRow="0" w:firstColumn="0" w:lastColumn="0" w:oddVBand="1" w:evenVBand="0" w:oddHBand="0" w:evenHBand="0" w:firstRowFirstColumn="0" w:firstRowLastColumn="0" w:lastRowFirstColumn="0" w:lastRowLastColumn="0"/>
                            <w:tcW w:w="6802" w:type="dxa"/>
                          </w:tcPr>
                          <w:p w14:paraId="4343F2C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color w:val="FFFFFF" w:themeColor="background1"/>
                                <w:sz w:val="56"/>
                                <w:szCs w:val="56"/>
                              </w:rPr>
                              <w:t>Productos de seguro de vida y de no vida accesibles, destinados específicamente a poblaciones con bajos ingresos y adaptados a sus necesidades (microseguros)</w:t>
                            </w:r>
                          </w:p>
                          <w:p w14:paraId="20C5ABF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tc>
                      </w:tr>
                      <w:tr w:rsidR="00D41FC4" w:rsidRPr="00C75EB7" w14:paraId="33DFAC1A" w14:textId="77777777" w:rsidTr="00B70620">
                        <w:tc>
                          <w:tcPr>
                            <w:cnfStyle w:val="001000000000" w:firstRow="0" w:lastRow="0" w:firstColumn="1" w:lastColumn="0" w:oddVBand="0" w:evenVBand="0" w:oddHBand="0" w:evenHBand="0" w:firstRowFirstColumn="0" w:firstRowLastColumn="0" w:lastRowFirstColumn="0" w:lastRowLastColumn="0"/>
                            <w:tcW w:w="1714" w:type="dxa"/>
                          </w:tcPr>
                          <w:p w14:paraId="7836E5C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color w:val="FFFFFF" w:themeColor="background1"/>
                                <w:sz w:val="56"/>
                                <w:szCs w:val="56"/>
                              </w:rPr>
                            </w:pPr>
                            <w:r w:rsidRPr="00C75EB7">
                              <w:rPr>
                                <w:rFonts w:ascii="Arial" w:eastAsiaTheme="minorHAnsi" w:hAnsi="Arial" w:cs="Arial"/>
                                <w:bCs w:val="0"/>
                                <w:color w:val="FFFFFF" w:themeColor="background1"/>
                                <w:sz w:val="56"/>
                                <w:szCs w:val="56"/>
                              </w:rPr>
                              <w:t>Oportunidades</w:t>
                            </w:r>
                          </w:p>
                          <w:p w14:paraId="6D18E54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tc>
                        <w:tc>
                          <w:tcPr>
                            <w:cnfStyle w:val="000010000000" w:firstRow="0" w:lastRow="0" w:firstColumn="0" w:lastColumn="0" w:oddVBand="1" w:evenVBand="0" w:oddHBand="0" w:evenHBand="0" w:firstRowFirstColumn="0" w:firstRowLastColumn="0" w:lastRowFirstColumn="0" w:lastRowLastColumn="0"/>
                            <w:tcW w:w="6802" w:type="dxa"/>
                          </w:tcPr>
                          <w:p w14:paraId="6F205EE8" w14:textId="77777777" w:rsidR="00D41FC4" w:rsidRPr="00C75EB7" w:rsidRDefault="00D41FC4" w:rsidP="00C75EB7">
                            <w:pPr>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eastAsiaTheme="minorHAnsi" w:hAnsi="Arial" w:cs="Arial"/>
                                <w:b/>
                                <w:color w:val="FFFFFF" w:themeColor="background1"/>
                                <w:sz w:val="56"/>
                                <w:szCs w:val="56"/>
                              </w:rPr>
                              <w:t>Para Allianz:</w:t>
                            </w:r>
                            <w:r w:rsidRPr="00C75EB7">
                              <w:rPr>
                                <w:rFonts w:ascii="Arial" w:eastAsiaTheme="minorHAnsi" w:hAnsi="Arial" w:cs="Arial"/>
                                <w:color w:val="FFFFFF" w:themeColor="background1"/>
                                <w:sz w:val="56"/>
                                <w:szCs w:val="56"/>
                              </w:rPr>
                              <w:t xml:space="preserve"> </w:t>
                            </w:r>
                            <w:r w:rsidRPr="00C75EB7">
                              <w:rPr>
                                <w:rFonts w:ascii="Arial" w:hAnsi="Arial" w:cs="Arial"/>
                                <w:color w:val="FFFFFF" w:themeColor="background1"/>
                                <w:sz w:val="56"/>
                                <w:szCs w:val="56"/>
                                <w:lang w:val="en-US"/>
                              </w:rPr>
                              <w:t xml:space="preserve"> Una base de consumidores compuesta por más de la mitad de la población mundial ofrece un mercado potencial muy importante para la industria de los seguros. Allianz, uno de los proveedores de seguros más importantes, aportará su experiencia a nivel mundial para determinar la viabilidad de los seguros y el costo de los mismos.</w:t>
                            </w:r>
                          </w:p>
                          <w:p w14:paraId="47E5D8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p w14:paraId="57A4085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b/>
                                <w:color w:val="FFFFFF" w:themeColor="background1"/>
                                <w:sz w:val="56"/>
                                <w:szCs w:val="56"/>
                              </w:rPr>
                              <w:t>Para la Base de la Pirámide</w:t>
                            </w:r>
                            <w:r w:rsidRPr="00C75EB7">
                              <w:rPr>
                                <w:rFonts w:ascii="Arial" w:eastAsiaTheme="minorHAnsi" w:hAnsi="Arial" w:cs="Arial"/>
                                <w:color w:val="FFFFFF" w:themeColor="background1"/>
                                <w:sz w:val="56"/>
                                <w:szCs w:val="56"/>
                              </w:rPr>
                              <w:t xml:space="preserve">: Sin seguro, los pobres arriesgan perder todo lo que tienen. El acceso a micro-seguros les proporciona cobertura para eventualidades y riesgos de distintos tipos, </w:t>
                            </w:r>
                            <w:r w:rsidRPr="00C75EB7">
                              <w:rPr>
                                <w:rFonts w:ascii="Arial" w:hAnsi="Arial" w:cs="Arial"/>
                                <w:color w:val="FFFFFF" w:themeColor="background1"/>
                                <w:sz w:val="56"/>
                                <w:szCs w:val="56"/>
                              </w:rPr>
                              <w:t>reducen sus debilidades para establecer empresas locales y fortalecen su sustento económico.</w:t>
                            </w:r>
                          </w:p>
                          <w:p w14:paraId="4AE126C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También se espera que el acceso a los micro-seguros fomente las inversiones del sector privado, incluyendo la infraestructura, incremente la tolerancia de las comunidades, desde sus estructuras básicas, y promueva el desarrollo humano sostenible.</w:t>
                            </w:r>
                          </w:p>
                          <w:p w14:paraId="3A99A87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tc>
                      </w:tr>
                      <w:tr w:rsidR="00D41FC4" w:rsidRPr="00C75EB7" w14:paraId="43CD7505"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26DA2C0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color w:val="FFFFFF" w:themeColor="background1"/>
                                <w:sz w:val="56"/>
                                <w:szCs w:val="56"/>
                              </w:rPr>
                            </w:pPr>
                            <w:r w:rsidRPr="00C75EB7">
                              <w:rPr>
                                <w:rFonts w:ascii="Arial" w:eastAsiaTheme="minorHAnsi" w:hAnsi="Arial" w:cs="Arial"/>
                                <w:bCs w:val="0"/>
                                <w:color w:val="FFFFFF" w:themeColor="background1"/>
                                <w:sz w:val="56"/>
                                <w:szCs w:val="56"/>
                              </w:rPr>
                              <w:t>¿Cómo lo ha hecho?</w:t>
                            </w:r>
                          </w:p>
                          <w:p w14:paraId="1AD6CB9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color w:val="FFFFFF" w:themeColor="background1"/>
                                <w:sz w:val="56"/>
                                <w:szCs w:val="56"/>
                              </w:rPr>
                              <w:tab/>
                            </w:r>
                          </w:p>
                        </w:tc>
                        <w:tc>
                          <w:tcPr>
                            <w:cnfStyle w:val="000010000000" w:firstRow="0" w:lastRow="0" w:firstColumn="0" w:lastColumn="0" w:oddVBand="1" w:evenVBand="0" w:oddHBand="0" w:evenHBand="0" w:firstRowFirstColumn="0" w:firstRowLastColumn="0" w:lastRowFirstColumn="0" w:lastRowLastColumn="0"/>
                            <w:tcW w:w="6802" w:type="dxa"/>
                          </w:tcPr>
                          <w:p w14:paraId="3D4C9C7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color w:val="FFFFFF" w:themeColor="background1"/>
                                <w:sz w:val="56"/>
                                <w:szCs w:val="56"/>
                              </w:rPr>
                              <w:t>Allianz trabaja con ONGs locales para reducir los elevados costes de administración y la falta de conciencia  y conocimiento sobre  la utilidad y el funcionamiento de los seguros en las comunidades pobres del sur de la India, Indonesia, Egipto y dentro de poco, África del Oeste.</w:t>
                            </w:r>
                          </w:p>
                          <w:p w14:paraId="3F1C82A9" w14:textId="77777777" w:rsidR="00D41FC4" w:rsidRPr="00C75EB7" w:rsidRDefault="00D41FC4" w:rsidP="00C75EB7">
                            <w:pPr>
                              <w:widowControl w:val="0"/>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hAnsi="Arial" w:cs="Arial"/>
                                <w:color w:val="FFFFFF" w:themeColor="background1"/>
                                <w:sz w:val="56"/>
                                <w:szCs w:val="56"/>
                                <w:lang w:val="en-US"/>
                              </w:rPr>
                              <w:t>Posteriormente, Allianz se asoció con el Programa de las Naciones Unidas para el Desarrollo (PNUD) y con GTZ, agencia internacional de cooperación alemana, para llevar a cabo estudios de mercado que analicen la demanda de microseguros en la India, Indonesia y la República Popular de Laos.</w:t>
                            </w:r>
                            <w:r w:rsidRPr="00C75EB7">
                              <w:rPr>
                                <w:rFonts w:ascii="Arial" w:eastAsiaTheme="minorHAnsi" w:hAnsi="Arial" w:cs="Arial"/>
                                <w:color w:val="FFFFFF" w:themeColor="background1"/>
                                <w:sz w:val="56"/>
                                <w:szCs w:val="56"/>
                              </w:rPr>
                              <w:t xml:space="preserve"> </w:t>
                            </w:r>
                          </w:p>
                        </w:tc>
                      </w:tr>
                      <w:tr w:rsidR="00D41FC4" w:rsidRPr="00C75EB7" w14:paraId="79E9732D" w14:textId="77777777" w:rsidTr="00B70620">
                        <w:tc>
                          <w:tcPr>
                            <w:cnfStyle w:val="001000000000" w:firstRow="0" w:lastRow="0" w:firstColumn="1" w:lastColumn="0" w:oddVBand="0" w:evenVBand="0" w:oddHBand="0" w:evenHBand="0" w:firstRowFirstColumn="0" w:firstRowLastColumn="0" w:lastRowFirstColumn="0" w:lastRowLastColumn="0"/>
                            <w:tcW w:w="1714" w:type="dxa"/>
                          </w:tcPr>
                          <w:p w14:paraId="3C0F22A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eastAsiaTheme="minorHAnsi" w:hAnsi="Arial" w:cs="Arial"/>
                                <w:bCs w:val="0"/>
                                <w:color w:val="FFFFFF" w:themeColor="background1"/>
                                <w:sz w:val="56"/>
                                <w:szCs w:val="56"/>
                              </w:rPr>
                              <w:t>Resultados</w:t>
                            </w:r>
                          </w:p>
                        </w:tc>
                        <w:tc>
                          <w:tcPr>
                            <w:cnfStyle w:val="000010000000" w:firstRow="0" w:lastRow="0" w:firstColumn="0" w:lastColumn="0" w:oddVBand="1" w:evenVBand="0" w:oddHBand="0" w:evenHBand="0" w:firstRowFirstColumn="0" w:firstRowLastColumn="0" w:lastRowFirstColumn="0" w:lastRowLastColumn="0"/>
                            <w:tcW w:w="6802" w:type="dxa"/>
                          </w:tcPr>
                          <w:p w14:paraId="2BB202DE" w14:textId="77777777" w:rsidR="00D41FC4" w:rsidRPr="00C75EB7" w:rsidRDefault="00D41FC4" w:rsidP="00C75EB7">
                            <w:pPr>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eastAsiaTheme="minorHAnsi" w:hAnsi="Arial" w:cs="Arial"/>
                                <w:color w:val="FFFFFF" w:themeColor="background1"/>
                                <w:sz w:val="56"/>
                                <w:szCs w:val="56"/>
                              </w:rPr>
                              <w:t xml:space="preserve">Más de 1,8 millones de personas en la India, Indonesia y Egipto están ahora protegidos por las políticas de micro-seguros de Allianz. </w:t>
                            </w:r>
                            <w:r w:rsidRPr="00C75EB7">
                              <w:rPr>
                                <w:rFonts w:ascii="Arial" w:hAnsi="Arial" w:cs="Arial"/>
                                <w:color w:val="FFFFFF" w:themeColor="background1"/>
                                <w:sz w:val="56"/>
                                <w:szCs w:val="56"/>
                                <w:lang w:val="en-US"/>
                              </w:rPr>
                              <w:t xml:space="preserve"> Se espera que los microseguros beneficien a los grupos de menores recursos, reduzcan sus debilidades, establezcan empresas locales y fortalezcan su sustento económico.</w:t>
                            </w:r>
                          </w:p>
                          <w:p w14:paraId="6724C514" w14:textId="77777777" w:rsidR="00D41FC4" w:rsidRPr="00C75EB7" w:rsidRDefault="00D41FC4" w:rsidP="00C75EB7">
                            <w:pPr>
                              <w:widowControl w:val="0"/>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También se espera que el acceso a los microseguros fomente las inversiones del sector privado, incluyendo la infraestructura, incremente la tolerancia de las comunidades, desde sus estructuras básicas, </w:t>
                            </w:r>
                            <w:proofErr w:type="gramStart"/>
                            <w:r w:rsidRPr="00C75EB7">
                              <w:rPr>
                                <w:rFonts w:ascii="Arial" w:hAnsi="Arial" w:cs="Arial"/>
                                <w:color w:val="FFFFFF" w:themeColor="background1"/>
                                <w:sz w:val="56"/>
                                <w:szCs w:val="56"/>
                                <w:lang w:val="en-US"/>
                              </w:rPr>
                              <w:t>y</w:t>
                            </w:r>
                            <w:proofErr w:type="gramEnd"/>
                            <w:r w:rsidRPr="00C75EB7">
                              <w:rPr>
                                <w:rFonts w:ascii="Arial" w:hAnsi="Arial" w:cs="Arial"/>
                                <w:color w:val="FFFFFF" w:themeColor="background1"/>
                                <w:sz w:val="56"/>
                                <w:szCs w:val="56"/>
                                <w:lang w:val="en-US"/>
                              </w:rPr>
                              <w:t xml:space="preserve"> promueva el desarrollo humano sustentable.</w:t>
                            </w:r>
                          </w:p>
                          <w:p w14:paraId="08A9869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r w:rsidRPr="00C75EB7">
                              <w:rPr>
                                <w:rFonts w:ascii="Arial" w:hAnsi="Arial" w:cs="Arial"/>
                                <w:color w:val="FFFFFF" w:themeColor="background1"/>
                                <w:sz w:val="56"/>
                                <w:szCs w:val="56"/>
                                <w:lang w:val="en-US"/>
                              </w:rPr>
                              <w:t>Los estudios realizados por el grupo indicaron claramente que el acceso a los microseguros ayuda a los sectores más necesitados, al igual que contribuye de manera significativa a alcanzar los Objetivos de Desarrollo del Milenio, en particular la erradicación de la pobreza extrema, la promoción de la igualdad de género y la creación de una asociación mundial para el</w:t>
                            </w:r>
                          </w:p>
                          <w:p w14:paraId="6A9CAE5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p w14:paraId="17D8F98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color w:val="FFFFFF" w:themeColor="background1"/>
                                <w:sz w:val="56"/>
                                <w:szCs w:val="56"/>
                              </w:rPr>
                            </w:pPr>
                          </w:p>
                        </w:tc>
                      </w:tr>
                      <w:tr w:rsidR="00D41FC4" w:rsidRPr="00C75EB7" w14:paraId="382C6D26"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BF47BF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color w:val="FFFFFF" w:themeColor="background1"/>
                                <w:sz w:val="56"/>
                                <w:szCs w:val="56"/>
                              </w:rPr>
                            </w:pPr>
                            <w:r w:rsidRPr="00C75EB7">
                              <w:rPr>
                                <w:rFonts w:ascii="Arial" w:eastAsiaTheme="minorHAnsi" w:hAnsi="Arial" w:cs="Arial"/>
                                <w:bCs w:val="0"/>
                                <w:color w:val="FFFFFF" w:themeColor="background1"/>
                                <w:sz w:val="56"/>
                                <w:szCs w:val="56"/>
                              </w:rPr>
                              <w:t>Estrategias para superar  los principales retos</w:t>
                            </w:r>
                          </w:p>
                        </w:tc>
                        <w:tc>
                          <w:tcPr>
                            <w:cnfStyle w:val="000010000000" w:firstRow="0" w:lastRow="0" w:firstColumn="0" w:lastColumn="0" w:oddVBand="1" w:evenVBand="0" w:oddHBand="0" w:evenHBand="0" w:firstRowFirstColumn="0" w:firstRowLastColumn="0" w:lastRowFirstColumn="0" w:lastRowLastColumn="0"/>
                            <w:tcW w:w="6802" w:type="dxa"/>
                          </w:tcPr>
                          <w:p w14:paraId="3D44548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r w:rsidRPr="00C75EB7">
                              <w:rPr>
                                <w:rFonts w:ascii="Arial" w:hAnsi="Arial" w:cs="Arial"/>
                                <w:b/>
                                <w:color w:val="FFFFFF" w:themeColor="background1"/>
                                <w:sz w:val="56"/>
                                <w:szCs w:val="56"/>
                              </w:rPr>
                              <w:t>Las principales estrategias aplicadas por Allianz y las lecciones aprendidas del proceso de desarrollo e implemenación de este negocio inclusivo enfatizan la importancia de:</w:t>
                            </w:r>
                          </w:p>
                          <w:p w14:paraId="016B6F73"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ind w:left="360"/>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Entender, a través de la investigación, cómo la gente usa los productos y servicios y cuáles son las necesidades de los indivuduos y sus familias en cada comunidad </w:t>
                            </w:r>
                          </w:p>
                          <w:p w14:paraId="119F4F4B"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ind w:left="360"/>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Adaptar los productos de seguro a las necesidades y al nivel de ingresos de los mercados de bajos ingresos </w:t>
                            </w:r>
                          </w:p>
                          <w:p w14:paraId="27B1B2C9"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Estar atento a las dinámicas culturales, incluyendo los símbolos de estatus y los roles de género </w:t>
                            </w:r>
                          </w:p>
                          <w:p w14:paraId="67249362"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Arial" w:hAnsi="Arial" w:cs="Arial"/>
                                <w:b/>
                                <w:color w:val="FFFFFF" w:themeColor="background1"/>
                                <w:sz w:val="56"/>
                                <w:szCs w:val="56"/>
                              </w:rPr>
                            </w:pPr>
                            <w:r w:rsidRPr="00C75EB7">
                              <w:rPr>
                                <w:rFonts w:ascii="Arial" w:hAnsi="Arial" w:cs="Arial"/>
                                <w:color w:val="FFFFFF" w:themeColor="background1"/>
                                <w:sz w:val="56"/>
                                <w:szCs w:val="56"/>
                              </w:rPr>
                              <w:t>Involucrar a los grupos de interés incluyendo ONGs y las comunidades en el diseño de los productos</w:t>
                            </w:r>
                            <w:r w:rsidRPr="00C75EB7">
                              <w:rPr>
                                <w:rFonts w:ascii="Arial" w:hAnsi="Arial" w:cs="Arial"/>
                                <w:b/>
                                <w:color w:val="FFFFFF" w:themeColor="background1"/>
                                <w:sz w:val="56"/>
                                <w:szCs w:val="56"/>
                              </w:rPr>
                              <w:t xml:space="preserve"> y en su comercialización y distribución</w:t>
                            </w:r>
                          </w:p>
                          <w:p w14:paraId="01370E4E" w14:textId="77777777" w:rsidR="00D41FC4" w:rsidRPr="00C75EB7" w:rsidRDefault="00D41FC4" w:rsidP="00C75EB7">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Allianz involucró al PNUD (Programa de las Naciones Unidas para el Deasrollo) y a GTZ (ayuda bilateral alemana) para llevar a cabo estudios de mercado y analizar la demanda de microseguros en algunos países</w:t>
                            </w:r>
                          </w:p>
                        </w:tc>
                      </w:tr>
                    </w:tbl>
                    <w:p w14:paraId="1B64281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6C62E520" w14:textId="77777777" w:rsidR="00D41FC4" w:rsidRPr="00C75EB7" w:rsidRDefault="00D41FC4" w:rsidP="00C75EB7">
                      <w:pPr>
                        <w:pStyle w:val="Heading2"/>
                        <w:spacing w:line="360" w:lineRule="auto"/>
                        <w:ind w:left="720"/>
                        <w:jc w:val="both"/>
                        <w:rPr>
                          <w:rFonts w:cs="Arial"/>
                          <w:color w:val="FFFFFF" w:themeColor="background1"/>
                          <w:sz w:val="56"/>
                          <w:szCs w:val="56"/>
                        </w:rPr>
                      </w:pPr>
                    </w:p>
                    <w:p w14:paraId="28FCF69C" w14:textId="77777777" w:rsidR="00D41FC4" w:rsidRPr="00C75EB7" w:rsidRDefault="00D41FC4" w:rsidP="00C75EB7">
                      <w:pPr>
                        <w:rPr>
                          <w:color w:val="FFFFFF" w:themeColor="background1"/>
                          <w:sz w:val="56"/>
                          <w:szCs w:val="56"/>
                        </w:rPr>
                      </w:pPr>
                    </w:p>
                    <w:p w14:paraId="0B8D8D6D" w14:textId="77777777" w:rsidR="00D41FC4" w:rsidRPr="00C75EB7" w:rsidRDefault="00D41FC4" w:rsidP="00C75EB7">
                      <w:pPr>
                        <w:rPr>
                          <w:color w:val="FFFFFF" w:themeColor="background1"/>
                          <w:sz w:val="56"/>
                          <w:szCs w:val="56"/>
                        </w:rPr>
                      </w:pPr>
                    </w:p>
                    <w:p w14:paraId="50773E67" w14:textId="77777777" w:rsidR="00D41FC4" w:rsidRPr="00C75EB7" w:rsidRDefault="00D41FC4" w:rsidP="00C75EB7">
                      <w:pPr>
                        <w:rPr>
                          <w:color w:val="FFFFFF" w:themeColor="background1"/>
                          <w:sz w:val="56"/>
                          <w:szCs w:val="56"/>
                        </w:rPr>
                      </w:pPr>
                    </w:p>
                    <w:p w14:paraId="09A1CAEA" w14:textId="77777777" w:rsidR="00D41FC4" w:rsidRPr="00C75EB7" w:rsidRDefault="00D41FC4" w:rsidP="00C75EB7">
                      <w:pPr>
                        <w:rPr>
                          <w:color w:val="FFFFFF" w:themeColor="background1"/>
                          <w:sz w:val="56"/>
                          <w:szCs w:val="56"/>
                        </w:rPr>
                      </w:pPr>
                    </w:p>
                    <w:p w14:paraId="1EF23027" w14:textId="77777777" w:rsidR="00D41FC4" w:rsidRPr="00C75EB7" w:rsidRDefault="00D41FC4" w:rsidP="00C75EB7">
                      <w:pPr>
                        <w:rPr>
                          <w:color w:val="FFFFFF" w:themeColor="background1"/>
                          <w:sz w:val="56"/>
                          <w:szCs w:val="56"/>
                        </w:rPr>
                      </w:pPr>
                    </w:p>
                    <w:p w14:paraId="4C2E0409" w14:textId="77777777" w:rsidR="00D41FC4" w:rsidRPr="00C75EB7" w:rsidRDefault="00D41FC4" w:rsidP="00C75EB7">
                      <w:pPr>
                        <w:rPr>
                          <w:color w:val="FFFFFF" w:themeColor="background1"/>
                          <w:sz w:val="56"/>
                          <w:szCs w:val="56"/>
                        </w:rPr>
                      </w:pPr>
                    </w:p>
                    <w:p w14:paraId="1C5DAC22" w14:textId="77777777" w:rsidR="00D41FC4" w:rsidRPr="00C75EB7" w:rsidRDefault="00D41FC4" w:rsidP="00C75EB7">
                      <w:pPr>
                        <w:pStyle w:val="Heading2"/>
                        <w:spacing w:line="360" w:lineRule="auto"/>
                        <w:ind w:left="720"/>
                        <w:jc w:val="both"/>
                        <w:rPr>
                          <w:rFonts w:cs="Arial"/>
                          <w:color w:val="FFFFFF" w:themeColor="background1"/>
                          <w:sz w:val="56"/>
                          <w:szCs w:val="56"/>
                        </w:rPr>
                      </w:pPr>
                    </w:p>
                    <w:p w14:paraId="50A1462E"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INCLUYENDO A  COMUNIDADES TRADICIONALES DEL AMAZONAS COMO PROVEEDORES DE MATERIAS PRIMAS: NATURA</w:t>
                      </w:r>
                    </w:p>
                    <w:p w14:paraId="560E2488"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tbl>
                      <w:tblPr>
                        <w:tblStyle w:val="LightList-Accent2"/>
                        <w:tblW w:w="8789" w:type="dxa"/>
                        <w:tblLook w:val="04A0" w:firstRow="1" w:lastRow="0" w:firstColumn="1" w:lastColumn="0" w:noHBand="0" w:noVBand="1"/>
                      </w:tblPr>
                      <w:tblGrid>
                        <w:gridCol w:w="4199"/>
                        <w:gridCol w:w="4590"/>
                      </w:tblGrid>
                      <w:tr w:rsidR="00D41FC4" w:rsidRPr="00C75EB7" w14:paraId="60BF2411" w14:textId="77777777" w:rsidTr="00B7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779C5CB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val="0"/>
                                <w:sz w:val="56"/>
                                <w:szCs w:val="56"/>
                              </w:rPr>
                            </w:pPr>
                            <w:r w:rsidRPr="00C75EB7">
                              <w:rPr>
                                <w:rFonts w:ascii="Arial" w:hAnsi="Arial" w:cs="Arial"/>
                                <w:bCs w:val="0"/>
                                <w:sz w:val="56"/>
                                <w:szCs w:val="56"/>
                              </w:rPr>
                              <w:t>Empresa</w:t>
                            </w:r>
                          </w:p>
                        </w:tc>
                        <w:tc>
                          <w:tcPr>
                            <w:tcW w:w="6322" w:type="dxa"/>
                          </w:tcPr>
                          <w:p w14:paraId="449E5E48" w14:textId="77777777" w:rsidR="00D41FC4" w:rsidRPr="00C75EB7" w:rsidRDefault="00D41FC4" w:rsidP="00C75EB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56"/>
                                <w:szCs w:val="56"/>
                              </w:rPr>
                            </w:pPr>
                            <w:r w:rsidRPr="00C75EB7">
                              <w:rPr>
                                <w:rFonts w:ascii="Arial" w:hAnsi="Arial" w:cs="Arial"/>
                                <w:b w:val="0"/>
                                <w:sz w:val="56"/>
                                <w:szCs w:val="56"/>
                              </w:rPr>
                              <w:t>NATURA</w:t>
                            </w:r>
                          </w:p>
                          <w:p w14:paraId="0A93BCD0" w14:textId="77777777" w:rsidR="00D41FC4" w:rsidRPr="00C75EB7" w:rsidRDefault="00D41FC4" w:rsidP="00C75EB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56"/>
                                <w:szCs w:val="56"/>
                              </w:rPr>
                            </w:pPr>
                            <w:r w:rsidRPr="00C75EB7">
                              <w:rPr>
                                <w:rFonts w:ascii="Arial" w:hAnsi="Arial" w:cs="Arial"/>
                                <w:b w:val="0"/>
                                <w:sz w:val="56"/>
                                <w:szCs w:val="56"/>
                              </w:rPr>
                              <w:t xml:space="preserve">Natura es una marca  de cosméticos de origen brasileño presente en siete países de América Latina y en Francia y España. </w:t>
                            </w:r>
                          </w:p>
                        </w:tc>
                      </w:tr>
                      <w:tr w:rsidR="00D41FC4" w:rsidRPr="00C75EB7" w14:paraId="74893A8B"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1FD79C5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Cs w:val="0"/>
                                <w:color w:val="FFFFFF" w:themeColor="background1"/>
                                <w:sz w:val="56"/>
                                <w:szCs w:val="56"/>
                              </w:rPr>
                              <w:t>Concepto de negocio inclusivo</w:t>
                            </w:r>
                          </w:p>
                        </w:tc>
                        <w:tc>
                          <w:tcPr>
                            <w:tcW w:w="6322" w:type="dxa"/>
                          </w:tcPr>
                          <w:p w14:paraId="2D9541E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En el año 2000, Natura lanzó la línea de productos (EKOS), que utiliza la biodiversidad brasileña trabajando con comunidades locales como negocio y como plataforma de innovación.</w:t>
                            </w:r>
                          </w:p>
                          <w:p w14:paraId="520DBFF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p>
                        </w:tc>
                      </w:tr>
                      <w:tr w:rsidR="00D41FC4" w:rsidRPr="00C75EB7" w14:paraId="7DCFF1BC" w14:textId="77777777" w:rsidTr="00B70620">
                        <w:tc>
                          <w:tcPr>
                            <w:cnfStyle w:val="001000000000" w:firstRow="0" w:lastRow="0" w:firstColumn="1" w:lastColumn="0" w:oddVBand="0" w:evenVBand="0" w:oddHBand="0" w:evenHBand="0" w:firstRowFirstColumn="0" w:firstRowLastColumn="0" w:lastRowFirstColumn="0" w:lastRowLastColumn="0"/>
                            <w:tcW w:w="2467" w:type="dxa"/>
                          </w:tcPr>
                          <w:p w14:paraId="4F97D6F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val="0"/>
                                <w:color w:val="FFFFFF" w:themeColor="background1"/>
                                <w:sz w:val="56"/>
                                <w:szCs w:val="56"/>
                              </w:rPr>
                            </w:pPr>
                            <w:r w:rsidRPr="00C75EB7">
                              <w:rPr>
                                <w:rFonts w:ascii="Arial" w:hAnsi="Arial" w:cs="Arial"/>
                                <w:bCs w:val="0"/>
                                <w:color w:val="FFFFFF" w:themeColor="background1"/>
                                <w:sz w:val="56"/>
                                <w:szCs w:val="56"/>
                              </w:rPr>
                              <w:t>Oportunidades</w:t>
                            </w:r>
                          </w:p>
                          <w:p w14:paraId="0F1E8DF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ab/>
                            </w:r>
                          </w:p>
                        </w:tc>
                        <w:tc>
                          <w:tcPr>
                            <w:tcW w:w="6322" w:type="dxa"/>
                          </w:tcPr>
                          <w:p w14:paraId="2237D94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b/>
                                <w:color w:val="FFFFFF" w:themeColor="background1"/>
                                <w:sz w:val="56"/>
                                <w:szCs w:val="56"/>
                              </w:rPr>
                              <w:t>Para Natura:</w:t>
                            </w:r>
                            <w:r w:rsidRPr="00C75EB7">
                              <w:rPr>
                                <w:rFonts w:ascii="Arial" w:hAnsi="Arial" w:cs="Arial"/>
                                <w:color w:val="FFFFFF" w:themeColor="background1"/>
                                <w:sz w:val="56"/>
                                <w:szCs w:val="56"/>
                              </w:rPr>
                              <w:t xml:space="preserve"> Interés por parte de la empresa por realzar el valor de su marca y por hacer crecer sus ventas mientras que cumple con sus compromisos de responsabilidad con el medio ambiente y justicia social, incluyendo apoyo a las comunidades de bajos ingresos de la región Amazónica.</w:t>
                            </w:r>
                          </w:p>
                          <w:p w14:paraId="5396346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56"/>
                                <w:szCs w:val="56"/>
                              </w:rPr>
                            </w:pPr>
                          </w:p>
                          <w:p w14:paraId="4465508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b/>
                                <w:color w:val="FFFFFF" w:themeColor="background1"/>
                                <w:sz w:val="56"/>
                                <w:szCs w:val="56"/>
                              </w:rPr>
                              <w:t>Para la comunidad:</w:t>
                            </w:r>
                            <w:r w:rsidRPr="00C75EB7">
                              <w:rPr>
                                <w:rFonts w:ascii="Arial" w:hAnsi="Arial" w:cs="Arial"/>
                                <w:color w:val="FFFFFF" w:themeColor="background1"/>
                                <w:sz w:val="56"/>
                                <w:szCs w:val="56"/>
                              </w:rPr>
                              <w:t xml:space="preserve"> Creando trabajo en las comunidades y estableciendo puentes entre las diversas áreas de Natura y los grupos de agricultores familiares organizados en asociaciones y cooperativas.</w:t>
                            </w:r>
                          </w:p>
                        </w:tc>
                      </w:tr>
                      <w:tr w:rsidR="00D41FC4" w:rsidRPr="00C75EB7" w14:paraId="1CF19C71"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2D79A2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Cs w:val="0"/>
                                <w:color w:val="FFFFFF" w:themeColor="background1"/>
                                <w:sz w:val="56"/>
                                <w:szCs w:val="56"/>
                              </w:rPr>
                              <w:t>¿Cómo lo ha hecho?</w:t>
                            </w:r>
                          </w:p>
                        </w:tc>
                        <w:tc>
                          <w:tcPr>
                            <w:tcW w:w="6322" w:type="dxa"/>
                          </w:tcPr>
                          <w:p w14:paraId="2E503D6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 xml:space="preserve">Alcanzar a las comunidades que suministran materia prima y asegurarando que estos materiales se extraen o plantan de manera sostenible durante toda la cadena de producción requiere conocimientos específicos y partnerships. </w:t>
                            </w:r>
                          </w:p>
                          <w:p w14:paraId="57500E6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Natura cuenta con un equipo de antropólogos, científicos sociales, sicólogos, economistas, biólogos y administradores en Natura que se ocupan de las relaciones con los 26 grupos de pequeños productores rurales que se encuentran a lo largo y a lo ancho de Brasil y del exterior, que cosechan activos naturales tales como el buriti, la castaña, el açaí entre muchos otros que serán usados en los productos de la marca.</w:t>
                            </w:r>
                          </w:p>
                          <w:p w14:paraId="35446C0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Para evaluar los vínculos con las comunidadades Natura diseñó un  Sistema de Calidad de Relaciones.</w:t>
                            </w:r>
                          </w:p>
                        </w:tc>
                      </w:tr>
                      <w:tr w:rsidR="00D41FC4" w:rsidRPr="00C75EB7" w14:paraId="351FD1F9" w14:textId="77777777" w:rsidTr="00B70620">
                        <w:tc>
                          <w:tcPr>
                            <w:cnfStyle w:val="001000000000" w:firstRow="0" w:lastRow="0" w:firstColumn="1" w:lastColumn="0" w:oddVBand="0" w:evenVBand="0" w:oddHBand="0" w:evenHBand="0" w:firstRowFirstColumn="0" w:firstRowLastColumn="0" w:lastRowFirstColumn="0" w:lastRowLastColumn="0"/>
                            <w:tcW w:w="2467" w:type="dxa"/>
                          </w:tcPr>
                          <w:p w14:paraId="7C0B689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bCs w:val="0"/>
                                <w:color w:val="FFFFFF" w:themeColor="background1"/>
                                <w:sz w:val="56"/>
                                <w:szCs w:val="56"/>
                              </w:rPr>
                              <w:t>Resultados</w:t>
                            </w:r>
                          </w:p>
                        </w:tc>
                        <w:tc>
                          <w:tcPr>
                            <w:tcW w:w="6322" w:type="dxa"/>
                          </w:tcPr>
                          <w:p w14:paraId="5CB8B5B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 xml:space="preserve">Actualmente, EKOS cuenta como el 10% de las ventas de Natura y le agrega valor a la marca. Natura tiene 56 acuerdos de suministros de activos naturales con empresas, granjas y comunidades en Brasil y América Latina. De estos, 19 son con comunidades tradicionales y proveedores locales de materia prima. </w:t>
                            </w:r>
                          </w:p>
                        </w:tc>
                      </w:tr>
                      <w:tr w:rsidR="00D41FC4" w:rsidRPr="00C75EB7" w14:paraId="7987B16F"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20C7028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eastAsiaTheme="minorHAnsi" w:hAnsi="Arial" w:cs="Arial"/>
                                <w:bCs w:val="0"/>
                                <w:color w:val="FFFFFF" w:themeColor="background1"/>
                                <w:sz w:val="56"/>
                                <w:szCs w:val="56"/>
                              </w:rPr>
                            </w:pPr>
                            <w:r w:rsidRPr="00C75EB7">
                              <w:rPr>
                                <w:rFonts w:ascii="Arial" w:eastAsiaTheme="minorHAnsi" w:hAnsi="Arial" w:cs="Arial"/>
                                <w:bCs w:val="0"/>
                                <w:color w:val="FFFFFF" w:themeColor="background1"/>
                                <w:sz w:val="56"/>
                                <w:szCs w:val="56"/>
                              </w:rPr>
                              <w:t>¿Cómo ha solucionado los principales retos?</w:t>
                            </w:r>
                          </w:p>
                          <w:p w14:paraId="0DB9541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Arial" w:hAnsi="Arial" w:cs="Arial"/>
                                <w:bCs w:val="0"/>
                                <w:color w:val="FFFFFF" w:themeColor="background1"/>
                                <w:sz w:val="56"/>
                                <w:szCs w:val="56"/>
                              </w:rPr>
                            </w:pPr>
                          </w:p>
                        </w:tc>
                        <w:tc>
                          <w:tcPr>
                            <w:tcW w:w="6322" w:type="dxa"/>
                          </w:tcPr>
                          <w:p w14:paraId="19DC5FD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Algunas de las lecciones aprendidas de este negocio inclusivo demuestran la importancia de:</w:t>
                            </w:r>
                          </w:p>
                          <w:p w14:paraId="365547EB"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Identificar las técnicas locales y encontrar maneras de apalancarlas e introducirlas en la cadena de valor: los agricultores locales conocen bien algunos tipos de activos naturales y cómo procesarlos e incluir ese conocimiento en la fabricación de los productos EKO ha contribuido a mejorarlos.</w:t>
                            </w:r>
                          </w:p>
                          <w:p w14:paraId="00B4DE89"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Construir técnicas y capacidades nuevas junto con los productores, combinando el conocimiento local con las técnicas más sofisticadas de Natura.</w:t>
                            </w:r>
                          </w:p>
                          <w:p w14:paraId="35C9F148"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Apoyar la educación primaria y secundaria en las comunidades</w:t>
                            </w:r>
                          </w:p>
                          <w:p w14:paraId="1F3A23E3"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Actuar como fiadores de préstamos micro o medianos para los proveedores</w:t>
                            </w:r>
                          </w:p>
                          <w:p w14:paraId="147F7A68" w14:textId="77777777" w:rsidR="00D41FC4" w:rsidRPr="00C75EB7" w:rsidRDefault="00D41FC4" w:rsidP="00C75EB7">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 xml:space="preserve">Abogar por ambientes reguladores que apoyan a las PYMEs </w:t>
                            </w:r>
                          </w:p>
                        </w:tc>
                      </w:tr>
                    </w:tbl>
                    <w:p w14:paraId="65AEDE5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0959D7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6C74FA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2747769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7B9D315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5879EA4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581E3D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1B1EB45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color w:val="FFFFFF" w:themeColor="background1"/>
                          <w:sz w:val="56"/>
                          <w:szCs w:val="56"/>
                        </w:rPr>
                      </w:pPr>
                    </w:p>
                    <w:p w14:paraId="03F8DC73" w14:textId="77777777" w:rsidR="00D41FC4" w:rsidRPr="00C75EB7" w:rsidRDefault="00D41FC4" w:rsidP="00C75EB7">
                      <w:pPr>
                        <w:pStyle w:val="Heading2"/>
                        <w:numPr>
                          <w:ilvl w:val="1"/>
                          <w:numId w:val="0"/>
                        </w:numPr>
                        <w:spacing w:line="360" w:lineRule="auto"/>
                        <w:ind w:left="720"/>
                        <w:jc w:val="both"/>
                        <w:rPr>
                          <w:rFonts w:cs="Arial"/>
                          <w:color w:val="FFFFFF" w:themeColor="background1"/>
                          <w:sz w:val="56"/>
                          <w:szCs w:val="56"/>
                        </w:rPr>
                      </w:pPr>
                      <w:r w:rsidRPr="00C75EB7">
                        <w:rPr>
                          <w:rFonts w:cs="Arial"/>
                          <w:color w:val="FFFFFF" w:themeColor="background1"/>
                          <w:sz w:val="56"/>
                          <w:szCs w:val="56"/>
                        </w:rPr>
                        <w:t xml:space="preserve">INCLUYENDO A LA BASE DE LA PIRÁMIDE COMO DISTRIBUIDORES EN AFRICA: COCA-COLA </w:t>
                      </w:r>
                    </w:p>
                    <w:p w14:paraId="7D2DEAC3"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b/>
                          <w:color w:val="FFFFFF" w:themeColor="background1"/>
                          <w:sz w:val="56"/>
                          <w:szCs w:val="56"/>
                        </w:rPr>
                      </w:pPr>
                    </w:p>
                    <w:tbl>
                      <w:tblPr>
                        <w:tblStyle w:val="LightList-Accent2"/>
                        <w:tblW w:w="8789" w:type="dxa"/>
                        <w:tblLayout w:type="fixed"/>
                        <w:tblLook w:val="04A0" w:firstRow="1" w:lastRow="0" w:firstColumn="1" w:lastColumn="0" w:noHBand="0" w:noVBand="1"/>
                      </w:tblPr>
                      <w:tblGrid>
                        <w:gridCol w:w="2410"/>
                        <w:gridCol w:w="6379"/>
                      </w:tblGrid>
                      <w:tr w:rsidR="00D41FC4" w:rsidRPr="00C75EB7" w14:paraId="30F0050A" w14:textId="77777777" w:rsidTr="00B7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594238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bCs w:val="0"/>
                                <w:sz w:val="56"/>
                                <w:szCs w:val="56"/>
                              </w:rPr>
                            </w:pPr>
                            <w:r w:rsidRPr="00C75EB7">
                              <w:rPr>
                                <w:rFonts w:ascii="Arial" w:hAnsi="Arial" w:cs="Arial"/>
                                <w:bCs w:val="0"/>
                                <w:sz w:val="56"/>
                                <w:szCs w:val="56"/>
                              </w:rPr>
                              <w:t>Empresa</w:t>
                            </w:r>
                          </w:p>
                        </w:tc>
                        <w:tc>
                          <w:tcPr>
                            <w:tcW w:w="6379" w:type="dxa"/>
                          </w:tcPr>
                          <w:p w14:paraId="7F234F5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56"/>
                                <w:szCs w:val="56"/>
                              </w:rPr>
                            </w:pPr>
                            <w:r w:rsidRPr="00C75EB7">
                              <w:rPr>
                                <w:rFonts w:ascii="Arial" w:hAnsi="Arial" w:cs="Arial"/>
                                <w:b w:val="0"/>
                                <w:bCs w:val="0"/>
                                <w:sz w:val="56"/>
                                <w:szCs w:val="56"/>
                              </w:rPr>
                              <w:t>COCA-COLA</w:t>
                            </w:r>
                          </w:p>
                          <w:p w14:paraId="08A805B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Arial" w:hAnsi="Arial" w:cs="Arial"/>
                                <w:sz w:val="56"/>
                                <w:szCs w:val="56"/>
                              </w:rPr>
                            </w:pPr>
                            <w:r w:rsidRPr="00C75EB7">
                              <w:rPr>
                                <w:rFonts w:ascii="Arial" w:hAnsi="Arial" w:cs="Arial"/>
                                <w:b w:val="0"/>
                                <w:bCs w:val="0"/>
                                <w:sz w:val="56"/>
                                <w:szCs w:val="56"/>
                              </w:rPr>
                              <w:t xml:space="preserve">Coca-Cola </w:t>
                            </w:r>
                            <w:r w:rsidRPr="00C75EB7">
                              <w:rPr>
                                <w:rFonts w:ascii="Arial" w:hAnsi="Arial" w:cs="Arial"/>
                                <w:sz w:val="56"/>
                                <w:szCs w:val="56"/>
                              </w:rPr>
                              <w:t xml:space="preserve">es una corporación </w:t>
                            </w:r>
                            <w:hyperlink r:id="rId24" w:history="1">
                              <w:r w:rsidRPr="00C75EB7">
                                <w:rPr>
                                  <w:rFonts w:ascii="Arial" w:hAnsi="Arial" w:cs="Arial"/>
                                  <w:sz w:val="56"/>
                                  <w:szCs w:val="56"/>
                                </w:rPr>
                                <w:t>multinacional</w:t>
                              </w:r>
                            </w:hyperlink>
                            <w:r w:rsidRPr="00C75EB7">
                              <w:rPr>
                                <w:rFonts w:ascii="Arial" w:hAnsi="Arial" w:cs="Arial"/>
                                <w:sz w:val="56"/>
                                <w:szCs w:val="56"/>
                              </w:rPr>
                              <w:t xml:space="preserve"> dedicada a la elaboración de </w:t>
                            </w:r>
                            <w:hyperlink r:id="rId25" w:history="1">
                              <w:r w:rsidRPr="00C75EB7">
                                <w:rPr>
                                  <w:rFonts w:ascii="Arial" w:hAnsi="Arial" w:cs="Arial"/>
                                  <w:sz w:val="56"/>
                                  <w:szCs w:val="56"/>
                                </w:rPr>
                                <w:t>bebidas</w:t>
                              </w:r>
                            </w:hyperlink>
                            <w:r w:rsidRPr="00C75EB7">
                              <w:rPr>
                                <w:rFonts w:ascii="Arial" w:hAnsi="Arial" w:cs="Arial"/>
                                <w:sz w:val="56"/>
                                <w:szCs w:val="56"/>
                              </w:rPr>
                              <w:t xml:space="preserve"> y </w:t>
                            </w:r>
                            <w:hyperlink r:id="rId26" w:history="1">
                              <w:r w:rsidRPr="00C75EB7">
                                <w:rPr>
                                  <w:rFonts w:ascii="Arial" w:hAnsi="Arial" w:cs="Arial"/>
                                  <w:sz w:val="56"/>
                                  <w:szCs w:val="56"/>
                                </w:rPr>
                                <w:t>alimentos</w:t>
                              </w:r>
                            </w:hyperlink>
                            <w:r w:rsidRPr="00C75EB7">
                              <w:rPr>
                                <w:rFonts w:ascii="Arial" w:hAnsi="Arial" w:cs="Arial"/>
                                <w:sz w:val="56"/>
                                <w:szCs w:val="56"/>
                              </w:rPr>
                              <w:t xml:space="preserve">. Con sede en </w:t>
                            </w:r>
                            <w:hyperlink r:id="rId27" w:history="1">
                              <w:r w:rsidRPr="00C75EB7">
                                <w:rPr>
                                  <w:rFonts w:ascii="Arial" w:hAnsi="Arial" w:cs="Arial"/>
                                  <w:sz w:val="56"/>
                                  <w:szCs w:val="56"/>
                                </w:rPr>
                                <w:t>Atlanta</w:t>
                              </w:r>
                            </w:hyperlink>
                            <w:r w:rsidRPr="00C75EB7">
                              <w:rPr>
                                <w:rFonts w:ascii="Arial" w:hAnsi="Arial" w:cs="Arial"/>
                                <w:sz w:val="56"/>
                                <w:szCs w:val="56"/>
                              </w:rPr>
                              <w:t xml:space="preserve">, el principal producto es el </w:t>
                            </w:r>
                            <w:hyperlink r:id="rId28" w:history="1">
                              <w:r w:rsidRPr="00C75EB7">
                                <w:rPr>
                                  <w:rFonts w:ascii="Arial" w:hAnsi="Arial" w:cs="Arial"/>
                                  <w:sz w:val="56"/>
                                  <w:szCs w:val="56"/>
                                </w:rPr>
                                <w:t>refresco</w:t>
                              </w:r>
                            </w:hyperlink>
                            <w:r w:rsidRPr="00C75EB7">
                              <w:rPr>
                                <w:rFonts w:ascii="Arial" w:hAnsi="Arial" w:cs="Arial"/>
                                <w:sz w:val="56"/>
                                <w:szCs w:val="56"/>
                              </w:rPr>
                              <w:t xml:space="preserve"> más consumido del mundo: la </w:t>
                            </w:r>
                            <w:hyperlink r:id="rId29" w:history="1">
                              <w:r w:rsidRPr="00C75EB7">
                                <w:rPr>
                                  <w:rFonts w:ascii="Arial" w:hAnsi="Arial" w:cs="Arial"/>
                                  <w:sz w:val="56"/>
                                  <w:szCs w:val="56"/>
                                </w:rPr>
                                <w:t>Coca-Cola</w:t>
                              </w:r>
                            </w:hyperlink>
                            <w:r w:rsidRPr="00C75EB7">
                              <w:rPr>
                                <w:rFonts w:ascii="Arial" w:hAnsi="Arial" w:cs="Arial"/>
                                <w:sz w:val="56"/>
                                <w:szCs w:val="56"/>
                              </w:rPr>
                              <w:t xml:space="preserve">. </w:t>
                            </w:r>
                          </w:p>
                        </w:tc>
                      </w:tr>
                      <w:tr w:rsidR="00D41FC4" w:rsidRPr="00C75EB7" w14:paraId="1FAC279D"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2FE160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color w:val="FFFFFF" w:themeColor="background1"/>
                                <w:sz w:val="56"/>
                                <w:szCs w:val="56"/>
                              </w:rPr>
                            </w:pPr>
                            <w:r w:rsidRPr="00C75EB7">
                              <w:rPr>
                                <w:rFonts w:ascii="Arial" w:hAnsi="Arial" w:cs="Arial"/>
                                <w:bCs w:val="0"/>
                                <w:color w:val="FFFFFF" w:themeColor="background1"/>
                                <w:sz w:val="56"/>
                                <w:szCs w:val="56"/>
                              </w:rPr>
                              <w:t>Concepto de negocio inclusivo</w:t>
                            </w:r>
                            <w:r w:rsidRPr="00C75EB7">
                              <w:rPr>
                                <w:rFonts w:ascii="Arial" w:hAnsi="Arial" w:cs="Arial"/>
                                <w:color w:val="FFFFFF" w:themeColor="background1"/>
                                <w:sz w:val="56"/>
                                <w:szCs w:val="56"/>
                              </w:rPr>
                              <w:tab/>
                              <w:t xml:space="preserve"> </w:t>
                            </w:r>
                          </w:p>
                        </w:tc>
                        <w:tc>
                          <w:tcPr>
                            <w:tcW w:w="6379" w:type="dxa"/>
                          </w:tcPr>
                          <w:p w14:paraId="689F78E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 xml:space="preserve">Para distribuir sus productos en áreas urbanas y periurbanas de difícil acceso en África, Coca Cola utiliza pequeñas empresas que distribuyen sus productos manualmente a los pequeños minoristas de la zona. Para ello ha creado los llamados  Centros de Distribución Manual (CDMs), de propiedad independiente, que trabajan en mercados al por menor donde los modelos clásicos de distribución de Coca Cola no son efectivos ni eficientes. </w:t>
                            </w:r>
                          </w:p>
                          <w:p w14:paraId="48EF4EB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Coca Cola forma a emprendedores locales para que se conviertan en distribuidores de  la compañía a través de los CDM. Muchos de ellos son mujeres.</w:t>
                            </w:r>
                          </w:p>
                        </w:tc>
                      </w:tr>
                      <w:tr w:rsidR="00D41FC4" w:rsidRPr="00C75EB7" w14:paraId="0C8FDE9C" w14:textId="77777777" w:rsidTr="00B70620">
                        <w:tc>
                          <w:tcPr>
                            <w:cnfStyle w:val="001000000000" w:firstRow="0" w:lastRow="0" w:firstColumn="1" w:lastColumn="0" w:oddVBand="0" w:evenVBand="0" w:oddHBand="0" w:evenHBand="0" w:firstRowFirstColumn="0" w:firstRowLastColumn="0" w:lastRowFirstColumn="0" w:lastRowLastColumn="0"/>
                            <w:tcW w:w="2410" w:type="dxa"/>
                          </w:tcPr>
                          <w:p w14:paraId="2A78770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color w:val="FFFFFF" w:themeColor="background1"/>
                                <w:sz w:val="56"/>
                                <w:szCs w:val="56"/>
                              </w:rPr>
                            </w:pPr>
                            <w:r w:rsidRPr="00C75EB7">
                              <w:rPr>
                                <w:rFonts w:ascii="Arial" w:hAnsi="Arial" w:cs="Arial"/>
                                <w:bCs w:val="0"/>
                                <w:color w:val="FFFFFF" w:themeColor="background1"/>
                                <w:sz w:val="56"/>
                                <w:szCs w:val="56"/>
                              </w:rPr>
                              <w:t>Oportunidades</w:t>
                            </w:r>
                            <w:r w:rsidRPr="00C75EB7">
                              <w:rPr>
                                <w:rFonts w:ascii="Arial" w:hAnsi="Arial" w:cs="Arial"/>
                                <w:color w:val="FFFFFF" w:themeColor="background1"/>
                                <w:sz w:val="56"/>
                                <w:szCs w:val="56"/>
                              </w:rPr>
                              <w:tab/>
                            </w:r>
                          </w:p>
                        </w:tc>
                        <w:tc>
                          <w:tcPr>
                            <w:tcW w:w="6379" w:type="dxa"/>
                          </w:tcPr>
                          <w:p w14:paraId="6A7BC5F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b/>
                                <w:color w:val="FFFFFF" w:themeColor="background1"/>
                                <w:sz w:val="56"/>
                                <w:szCs w:val="56"/>
                              </w:rPr>
                              <w:t xml:space="preserve">Para Coca-Cola: </w:t>
                            </w:r>
                            <w:r w:rsidRPr="00C75EB7">
                              <w:rPr>
                                <w:rFonts w:ascii="Arial" w:hAnsi="Arial" w:cs="Arial"/>
                                <w:color w:val="FFFFFF" w:themeColor="background1"/>
                                <w:sz w:val="56"/>
                                <w:szCs w:val="56"/>
                              </w:rPr>
                              <w:t>la falta de infraestructura vial en algunas zonas pobres de Africa supone una barrera para los distribuidores de Coca Cola. Esta iniciativa permite resolver los problemas de distribución de la empresa en  ciertas áreas geográficas.</w:t>
                            </w:r>
                          </w:p>
                          <w:p w14:paraId="2967C22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b/>
                                <w:color w:val="FFFFFF" w:themeColor="background1"/>
                                <w:sz w:val="56"/>
                                <w:szCs w:val="56"/>
                              </w:rPr>
                              <w:t>Para la Base de la Pirámide</w:t>
                            </w:r>
                            <w:r w:rsidRPr="00C75EB7">
                              <w:rPr>
                                <w:rFonts w:ascii="Arial" w:hAnsi="Arial" w:cs="Arial"/>
                                <w:color w:val="FFFFFF" w:themeColor="background1"/>
                                <w:sz w:val="56"/>
                                <w:szCs w:val="56"/>
                              </w:rPr>
                              <w:t>: También existe falta de apoyo al emprendimiento, en particular a las mujeres y falta de empleo a nivel local. A través de los CDMs Coca Cola fomenta el emprendimiento  generando empleo y riqueza en las comunidades más pobres.</w:t>
                            </w:r>
                          </w:p>
                        </w:tc>
                      </w:tr>
                      <w:tr w:rsidR="00D41FC4" w:rsidRPr="00C75EB7" w14:paraId="4616062E"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65BBFF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color w:val="FFFFFF" w:themeColor="background1"/>
                                <w:sz w:val="56"/>
                                <w:szCs w:val="56"/>
                              </w:rPr>
                            </w:pPr>
                            <w:r w:rsidRPr="00C75EB7">
                              <w:rPr>
                                <w:rFonts w:ascii="Arial" w:hAnsi="Arial" w:cs="Arial"/>
                                <w:bCs w:val="0"/>
                                <w:color w:val="FFFFFF" w:themeColor="background1"/>
                                <w:sz w:val="56"/>
                                <w:szCs w:val="56"/>
                              </w:rPr>
                              <w:t>¿Cómo?</w:t>
                            </w:r>
                          </w:p>
                        </w:tc>
                        <w:tc>
                          <w:tcPr>
                            <w:tcW w:w="6379" w:type="dxa"/>
                          </w:tcPr>
                          <w:p w14:paraId="08E14B6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Coca-Cola Sabco desarrolló el modelo MDC como proyecto piloto en Etiopia  y luego lo implementó  a gran escala en Africa del Este.</w:t>
                            </w:r>
                          </w:p>
                        </w:tc>
                      </w:tr>
                      <w:tr w:rsidR="00D41FC4" w:rsidRPr="00C75EB7" w14:paraId="57F794E3" w14:textId="77777777" w:rsidTr="00B70620">
                        <w:tc>
                          <w:tcPr>
                            <w:cnfStyle w:val="001000000000" w:firstRow="0" w:lastRow="0" w:firstColumn="1" w:lastColumn="0" w:oddVBand="0" w:evenVBand="0" w:oddHBand="0" w:evenHBand="0" w:firstRowFirstColumn="0" w:firstRowLastColumn="0" w:lastRowFirstColumn="0" w:lastRowLastColumn="0"/>
                            <w:tcW w:w="2410" w:type="dxa"/>
                          </w:tcPr>
                          <w:p w14:paraId="55F7FE2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Arial" w:hAnsi="Arial" w:cs="Arial"/>
                                <w:color w:val="FFFFFF" w:themeColor="background1"/>
                                <w:sz w:val="56"/>
                                <w:szCs w:val="56"/>
                              </w:rPr>
                            </w:pPr>
                            <w:r w:rsidRPr="00C75EB7">
                              <w:rPr>
                                <w:rFonts w:ascii="Arial" w:hAnsi="Arial" w:cs="Arial"/>
                                <w:bCs w:val="0"/>
                                <w:color w:val="FFFFFF" w:themeColor="background1"/>
                                <w:sz w:val="56"/>
                                <w:szCs w:val="56"/>
                              </w:rPr>
                              <w:t>Resultados</w:t>
                            </w:r>
                          </w:p>
                        </w:tc>
                        <w:tc>
                          <w:tcPr>
                            <w:tcW w:w="6379" w:type="dxa"/>
                          </w:tcPr>
                          <w:p w14:paraId="25DE3081" w14:textId="77777777" w:rsidR="00D41FC4" w:rsidRPr="00C75EB7" w:rsidRDefault="00D41FC4" w:rsidP="00C75EB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56"/>
                                <w:szCs w:val="56"/>
                              </w:rPr>
                            </w:pPr>
                            <w:r w:rsidRPr="00C75EB7">
                              <w:rPr>
                                <w:rFonts w:ascii="Arial" w:hAnsi="Arial" w:cs="Arial"/>
                                <w:color w:val="FFFFFF" w:themeColor="background1"/>
                                <w:sz w:val="56"/>
                                <w:szCs w:val="56"/>
                              </w:rPr>
                              <w:t>2.500 MDCs en Africa, generando más de 12.000 trabajos y más de USD 500 millones anuales en renta. Los MDCs cuentan  como el 80% de las ventas de Coca-Cola en África del Este. El sistema creó oportunidades económicas para las mujeres que poseen el 19% de los CDM en Etiopia y el 32% en Tanzania.</w:t>
                            </w:r>
                          </w:p>
                        </w:tc>
                      </w:tr>
                    </w:tbl>
                    <w:p w14:paraId="5017A20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35AEDC87" w14:textId="77777777" w:rsidR="00D41FC4" w:rsidRPr="00C75EB7" w:rsidRDefault="00D41FC4" w:rsidP="00C75EB7">
                      <w:pPr>
                        <w:pStyle w:val="Heading1"/>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Conclusión</w:t>
                      </w:r>
                    </w:p>
                    <w:p w14:paraId="104EEA8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Los negocios inclusivos son considerados hoy en día por algunos sectores empresariales, grandes agencias de cooperación internacional y organismos de desarrollo, como una estrategia de superación de la pobreza que permite una participación activa del sector privado en los temas de desarrollo y la incorporación de comunidades empobrecidas en circuitos de mercado.</w:t>
                      </w:r>
                    </w:p>
                    <w:p w14:paraId="3E89165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Estamos frente un cambio en el paradigma de la pobreza basado en la idea de que los pobres tienen potencial para generar valor y salir de su situación de vulnerabilidad por sí mismos si se les proporcionan oportunidades y acceso a bienes, servicios y trabajo. También  se ha producido un cambio de perspectiva en cuanto  a quien debe asumir  el compromiso de aportar soluciones a los problemas sociales. Desde esta nueva perspectiva, los problemas de desigualdad y pobreza ya no suponen una responsabilidad sólo para los poderes públicos, también se espera que las empresas asuman un papel activo en su resolución.</w:t>
                      </w:r>
                    </w:p>
                    <w:p w14:paraId="2C29D4E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A través de los negocios inclusivos, el sector privado puede adaptarse a ambos cambios respondiendo a las nuevas expectativas que se tiene sobre su actuación, mejorando su reputación e imagen y al mismo tiempo utilizando el valor que existe en la base de la pirámide de forma económicamente viable y encontrando nuevos mercados en los que crecer. Existen algunos retos y barreras en el desarrollo de estos nuevos modelos de negocio pero también estrategias y mecanismos para superarlos. Algunos de las recomendaciones presentadas en este capitulo han sido utilizadas con éxito por algunas grandes empresas de distintos sectores y en grandes líneas se pueden  son las siguientes: adaptar los productos y procesos a la realidad local buscando la innovación y la flexibilidad, invertir para reducir las restricciones de mercado, apalancar las fortalezas de los pobres, combinar recursos y capacidades, comprometerse en diálogos con los gobiernos y promover la construcción del tejido social. </w:t>
                      </w:r>
                    </w:p>
                    <w:p w14:paraId="5BD9739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La magnitud de  las oportunidades de los negocios inclusivos y su potencial impacto positivo en el desarrollo de la Base de la Pirámide justifican el esfuerzo que supone superar las barreras iniciales .</w:t>
                      </w:r>
                    </w:p>
                    <w:p w14:paraId="4034413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FB7DC1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3B84104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Bibliografía</w:t>
                      </w:r>
                    </w:p>
                    <w:p w14:paraId="5471B2D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8E782C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Anupindi, Ravi y S. Sivakumar. </w:t>
                      </w:r>
                      <w:r w:rsidRPr="00C75EB7">
                        <w:rPr>
                          <w:rFonts w:ascii="Arial" w:hAnsi="Arial" w:cs="Arial"/>
                          <w:color w:val="FFFFFF" w:themeColor="background1"/>
                          <w:sz w:val="56"/>
                          <w:szCs w:val="56"/>
                          <w:lang w:val="en-US"/>
                        </w:rPr>
                        <w:t>“A Platform Strategy for Rural Transformation.” En Business Solutions for the Global Poor: Creating Economic and Social Value, editado por Kasturi Rangan, John Quelch, Gustavo Herrero y Brooke Barton, 193–206. San Francisco, CA: Jossey-Bass, 2007.</w:t>
                      </w:r>
                    </w:p>
                    <w:p w14:paraId="5491ED5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7D4B91B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Austin, James E. Agroindustrial Project Analysis: Critical Design Factors. 2a ed. Baltimore, MD: Johns Hopkins University Press, 1992.</w:t>
                      </w:r>
                    </w:p>
                    <w:p w14:paraId="5721717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390AE2B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Austin, James E. y Michael Chu.</w:t>
                      </w:r>
                      <w:proofErr w:type="gramEnd"/>
                      <w:r w:rsidRPr="00C75EB7">
                        <w:rPr>
                          <w:rFonts w:ascii="Arial" w:hAnsi="Arial" w:cs="Arial"/>
                          <w:color w:val="FFFFFF" w:themeColor="background1"/>
                          <w:sz w:val="56"/>
                          <w:szCs w:val="56"/>
                          <w:lang w:val="en-US"/>
                        </w:rPr>
                        <w:t xml:space="preserve"> “Business and Low-Income Sectors: Finding a New Weapon to Attack Poverty.” </w:t>
                      </w:r>
                      <w:r w:rsidRPr="00C75EB7">
                        <w:rPr>
                          <w:rFonts w:ascii="Arial" w:hAnsi="Arial" w:cs="Arial"/>
                          <w:color w:val="FFFFFF" w:themeColor="background1"/>
                          <w:sz w:val="56"/>
                          <w:szCs w:val="56"/>
                        </w:rPr>
                        <w:t>ReVista: Harvard Review of Latin America (2006).</w:t>
                      </w:r>
                    </w:p>
                    <w:p w14:paraId="71A90D7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Austin, James, Roberto Gutiérrez, Enrique Ogliastri y Ezequiel Reficco. </w:t>
                      </w:r>
                      <w:r w:rsidRPr="00C75EB7">
                        <w:rPr>
                          <w:rFonts w:ascii="Arial" w:hAnsi="Arial" w:cs="Arial"/>
                          <w:color w:val="FFFFFF" w:themeColor="background1"/>
                          <w:sz w:val="56"/>
                          <w:szCs w:val="56"/>
                          <w:lang w:val="en-US"/>
                        </w:rPr>
                        <w:t>“Capitalizing on Convergence.” Stanford Social Innovation Review (invierno de 2007): 24–31.</w:t>
                      </w:r>
                    </w:p>
                    <w:p w14:paraId="7D76F09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6F8A0A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Austin, James, Herman Leonard, Ezequiel Reficco y Jane Wei-Skillern.</w:t>
                      </w:r>
                      <w:proofErr w:type="gramEnd"/>
                      <w:r w:rsidRPr="00C75EB7">
                        <w:rPr>
                          <w:rFonts w:ascii="Arial" w:hAnsi="Arial" w:cs="Arial"/>
                          <w:color w:val="FFFFFF" w:themeColor="background1"/>
                          <w:sz w:val="56"/>
                          <w:szCs w:val="56"/>
                          <w:lang w:val="en-US"/>
                        </w:rPr>
                        <w:t xml:space="preserve"> “Corporate Social Entrepreneurship: The New Frontier.” </w:t>
                      </w:r>
                      <w:proofErr w:type="gramStart"/>
                      <w:r w:rsidRPr="00C75EB7">
                        <w:rPr>
                          <w:rFonts w:ascii="Arial" w:hAnsi="Arial" w:cs="Arial"/>
                          <w:color w:val="FFFFFF" w:themeColor="background1"/>
                          <w:sz w:val="56"/>
                          <w:szCs w:val="56"/>
                          <w:lang w:val="en-US"/>
                        </w:rPr>
                        <w:t>En The Accountable Corporation.</w:t>
                      </w:r>
                      <w:proofErr w:type="gramEnd"/>
                      <w:r w:rsidRPr="00C75EB7">
                        <w:rPr>
                          <w:rFonts w:ascii="Arial" w:hAnsi="Arial" w:cs="Arial"/>
                          <w:color w:val="FFFFFF" w:themeColor="background1"/>
                          <w:sz w:val="56"/>
                          <w:szCs w:val="56"/>
                          <w:lang w:val="en-US"/>
                        </w:rPr>
                        <w:t xml:space="preserve"> </w:t>
                      </w:r>
                      <w:r w:rsidRPr="00C75EB7">
                        <w:rPr>
                          <w:rFonts w:ascii="Arial" w:hAnsi="Arial" w:cs="Arial"/>
                          <w:color w:val="FFFFFF" w:themeColor="background1"/>
                          <w:sz w:val="56"/>
                          <w:szCs w:val="56"/>
                        </w:rPr>
                        <w:t xml:space="preserve">Volume 3: Corporate Social Responsibility, editado por Marc Epstein y Kirk Hanson. </w:t>
                      </w:r>
                      <w:r w:rsidRPr="00C75EB7">
                        <w:rPr>
                          <w:rFonts w:ascii="Arial" w:hAnsi="Arial" w:cs="Arial"/>
                          <w:color w:val="FFFFFF" w:themeColor="background1"/>
                          <w:sz w:val="56"/>
                          <w:szCs w:val="56"/>
                          <w:lang w:val="en-US"/>
                        </w:rPr>
                        <w:t>Westport, CT: Praeger, 2006.</w:t>
                      </w:r>
                    </w:p>
                    <w:p w14:paraId="1B3811B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10D6F2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“Social Entrepreneurship: It’s for Corporations, Too.” En Social Entrepreneurship: New Paradigms of Sustainable Social Change, editado por Alex Nicholls. Oxford: Oxford University Press, 2005.</w:t>
                      </w:r>
                    </w:p>
                    <w:p w14:paraId="0B6E0FC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860DCC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Austin, James, Patricia Márquez, Ezequiel Reficco, Gabriel Berger, et al. “Building New Business Value Chains with Low Income Sectors in Latin America.” En Business Solutions for the Global Poor: Creating Economic and Social Value, edi- tado por Kasturi Rangan, John Quelch, Gustavo Herrero y Brooke Barton. </w:t>
                      </w:r>
                      <w:r w:rsidRPr="00C75EB7">
                        <w:rPr>
                          <w:rFonts w:ascii="Arial" w:hAnsi="Arial" w:cs="Arial"/>
                          <w:color w:val="FFFFFF" w:themeColor="background1"/>
                          <w:sz w:val="56"/>
                          <w:szCs w:val="56"/>
                        </w:rPr>
                        <w:t>San Francisco, CA: Jossey-Bass, 2007.</w:t>
                      </w:r>
                    </w:p>
                    <w:p w14:paraId="570285B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6D001D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Austin, James, Ezequiel Reficco, Gabriel Berger, Rosa María Fischer, et al. </w:t>
                      </w:r>
                      <w:r w:rsidRPr="00C75EB7">
                        <w:rPr>
                          <w:rFonts w:ascii="Arial" w:hAnsi="Arial" w:cs="Arial"/>
                          <w:color w:val="FFFFFF" w:themeColor="background1"/>
                          <w:sz w:val="56"/>
                          <w:szCs w:val="56"/>
                          <w:lang w:val="en-US"/>
                        </w:rPr>
                        <w:t>Social Partnering in Latin America: Lessons Drawn from Collaborations of Businesses and Civil Society Organizations. Cambridge, MA: Universidad de Harvard, David Rockefeller Center for Latin American Studies, distribuido por Harvard University Press, 2004.</w:t>
                      </w:r>
                    </w:p>
                    <w:p w14:paraId="44E3587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0C5B26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Ayyagari, Meghana, Asli Demirguç-Kunt y Thorsten Beck. Small and Medium Enterprises across the Globe: A New Database. </w:t>
                      </w:r>
                      <w:r w:rsidRPr="00C75EB7">
                        <w:rPr>
                          <w:rFonts w:ascii="Arial" w:hAnsi="Arial" w:cs="Arial"/>
                          <w:color w:val="FFFFFF" w:themeColor="background1"/>
                          <w:sz w:val="56"/>
                          <w:szCs w:val="56"/>
                        </w:rPr>
                        <w:t>SSRN, 2003.</w:t>
                      </w:r>
                    </w:p>
                    <w:p w14:paraId="1B593BA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953797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2268DD9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Chu, Michael. “Commercial Returns and Social Value: The Case of Microfinance.” </w:t>
                      </w:r>
                      <w:r w:rsidRPr="00C75EB7">
                        <w:rPr>
                          <w:rFonts w:ascii="Arial" w:hAnsi="Arial" w:cs="Arial"/>
                          <w:color w:val="FFFFFF" w:themeColor="background1"/>
                          <w:sz w:val="56"/>
                          <w:szCs w:val="56"/>
                        </w:rPr>
                        <w:t>Documento presentado en la conferencia sobre pobreza mundial organizada por la Harvard Business School, Boston, MA, 1 al 3 de diciembre de 2005.</w:t>
                      </w:r>
                    </w:p>
                    <w:p w14:paraId="2C08FB1D"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“Commercial Returns at the Base of the Pyramid.” Innovations (invierno– primavera de 2007): 115–</w:t>
                      </w:r>
                    </w:p>
                    <w:p w14:paraId="6F964F8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 “Microfinance: Business, Profitability and the Creation of Social Value.” En Business Solutions for the Global Poor: Creating Economic and Social Value, editado por Kasturi Rangan, John Quelch, Gustavo Herrero y Brooke Barton, 309–20. </w:t>
                      </w:r>
                      <w:r w:rsidRPr="00C75EB7">
                        <w:rPr>
                          <w:rFonts w:ascii="Arial" w:hAnsi="Arial" w:cs="Arial"/>
                          <w:color w:val="FFFFFF" w:themeColor="background1"/>
                          <w:sz w:val="56"/>
                          <w:szCs w:val="56"/>
                        </w:rPr>
                        <w:t>San Francisco, CA: Jossey-Bass, 2007.</w:t>
                      </w:r>
                    </w:p>
                    <w:p w14:paraId="7476505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79F46F4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Drucker, Peter F. Innovation and Entrepreneurship: Practice and Principles. 1a ed. Nueva York: Harper &amp; Row, 1985.</w:t>
                      </w:r>
                    </w:p>
                    <w:p w14:paraId="315D924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DC2143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Easton, Tom. “The Hidden Wealth of the Poor.” </w:t>
                      </w:r>
                      <w:r w:rsidRPr="00C75EB7">
                        <w:rPr>
                          <w:rFonts w:ascii="Arial" w:hAnsi="Arial" w:cs="Arial"/>
                          <w:color w:val="FFFFFF" w:themeColor="background1"/>
                          <w:sz w:val="56"/>
                          <w:szCs w:val="56"/>
                        </w:rPr>
                        <w:t>The Economist, 5 de noviembre de 2005.</w:t>
                      </w:r>
                    </w:p>
                    <w:p w14:paraId="498DB0E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Eliasson, Gunnar. “The Role of Knowledge in Economic Growth.” </w:t>
                      </w:r>
                      <w:r w:rsidRPr="00C75EB7">
                        <w:rPr>
                          <w:rFonts w:ascii="Arial" w:hAnsi="Arial" w:cs="Arial"/>
                          <w:color w:val="FFFFFF" w:themeColor="background1"/>
                          <w:sz w:val="56"/>
                          <w:szCs w:val="56"/>
                        </w:rPr>
                        <w:t>Estocolmo: Instituto Real de Tecnología, Estocolmo, TRITA-IEO-R, 2000.</w:t>
                      </w:r>
                    </w:p>
                    <w:p w14:paraId="5BC8A01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3AB2EDE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Elsner, Wolfram. “The ‘New’ Economy: Complexity, Coordination and a Hybrid Governance Approach.” International Journal of Social Economics 31, nro. </w:t>
                      </w:r>
                      <w:proofErr w:type="gramStart"/>
                      <w:r w:rsidRPr="00C75EB7">
                        <w:rPr>
                          <w:rFonts w:ascii="Arial" w:hAnsi="Arial" w:cs="Arial"/>
                          <w:color w:val="FFFFFF" w:themeColor="background1"/>
                          <w:sz w:val="56"/>
                          <w:szCs w:val="56"/>
                          <w:lang w:val="en-US"/>
                        </w:rPr>
                        <w:t>11 (2004): 1029–49.</w:t>
                      </w:r>
                      <w:proofErr w:type="gramEnd"/>
                    </w:p>
                    <w:p w14:paraId="7D5D4BF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7F386AD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Emerson, Jed y Sheila Bonini.</w:t>
                      </w:r>
                      <w:proofErr w:type="gramEnd"/>
                      <w:r w:rsidRPr="00C75EB7">
                        <w:rPr>
                          <w:rFonts w:ascii="Arial" w:hAnsi="Arial" w:cs="Arial"/>
                          <w:color w:val="FFFFFF" w:themeColor="background1"/>
                          <w:sz w:val="56"/>
                          <w:szCs w:val="56"/>
                          <w:lang w:val="en-US"/>
                        </w:rPr>
                        <w:t xml:space="preserve"> “The Blended Value Map: Tracking the Intersects and Opportunities of Economic, Social and Environmental Value Creation,” </w:t>
                      </w:r>
                      <w:hyperlink r:id="rId30" w:history="1">
                        <w:r w:rsidRPr="00C75EB7">
                          <w:rPr>
                            <w:rStyle w:val="Hyperlink"/>
                            <w:rFonts w:ascii="Arial" w:hAnsi="Arial" w:cs="Arial"/>
                            <w:color w:val="FFFFFF" w:themeColor="background1"/>
                            <w:sz w:val="56"/>
                            <w:szCs w:val="56"/>
                            <w:lang w:val="en-US"/>
                          </w:rPr>
                          <w:t>http://www.blendedvalue.org/media/pdf-bv-map.pdf</w:t>
                        </w:r>
                      </w:hyperlink>
                      <w:r w:rsidRPr="00C75EB7">
                        <w:rPr>
                          <w:rFonts w:ascii="Arial" w:hAnsi="Arial" w:cs="Arial"/>
                          <w:color w:val="FFFFFF" w:themeColor="background1"/>
                          <w:sz w:val="56"/>
                          <w:szCs w:val="56"/>
                          <w:lang w:val="en-US"/>
                        </w:rPr>
                        <w:t>.</w:t>
                      </w:r>
                    </w:p>
                    <w:p w14:paraId="3268B79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7657055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Epstein, Marc J. y Christopher A. Crane.</w:t>
                      </w:r>
                      <w:proofErr w:type="gramEnd"/>
                      <w:r w:rsidRPr="00C75EB7">
                        <w:rPr>
                          <w:rFonts w:ascii="Arial" w:hAnsi="Arial" w:cs="Arial"/>
                          <w:color w:val="FFFFFF" w:themeColor="background1"/>
                          <w:sz w:val="56"/>
                          <w:szCs w:val="56"/>
                          <w:lang w:val="en-US"/>
                        </w:rPr>
                        <w:t xml:space="preserve"> “Alleviating Global Poverty through Microfinance: Factors and Measures of Financial, Economic, and Social Performance.” </w:t>
                      </w:r>
                      <w:r w:rsidRPr="00C75EB7">
                        <w:rPr>
                          <w:rFonts w:ascii="Arial" w:hAnsi="Arial" w:cs="Arial"/>
                          <w:color w:val="FFFFFF" w:themeColor="background1"/>
                          <w:sz w:val="56"/>
                          <w:szCs w:val="56"/>
                        </w:rPr>
                        <w:t>Documento presentado en la conferencia sobre pobreza mundial or- ganizada por la Harvard Business School, Boston, MA, 1 al 3 de diciembre de 2005.</w:t>
                      </w:r>
                    </w:p>
                    <w:p w14:paraId="03741E3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8B7EE8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Gittell, Ross y Avis Vidal.</w:t>
                      </w:r>
                      <w:proofErr w:type="gramEnd"/>
                      <w:r w:rsidRPr="00C75EB7">
                        <w:rPr>
                          <w:rFonts w:ascii="Arial" w:hAnsi="Arial" w:cs="Arial"/>
                          <w:color w:val="FFFFFF" w:themeColor="background1"/>
                          <w:sz w:val="56"/>
                          <w:szCs w:val="56"/>
                          <w:lang w:val="en-US"/>
                        </w:rPr>
                        <w:t xml:space="preserve"> Community Organization: Building Social Capital as a Development Strategy. Londres: Sage, 1998.</w:t>
                      </w:r>
                    </w:p>
                    <w:p w14:paraId="6346CD5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2E407F1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Goldberg, Ray A. y Kerry Herman.</w:t>
                      </w:r>
                      <w:proofErr w:type="gramEnd"/>
                      <w:r w:rsidRPr="00C75EB7">
                        <w:rPr>
                          <w:rFonts w:ascii="Arial" w:hAnsi="Arial" w:cs="Arial"/>
                          <w:color w:val="FFFFFF" w:themeColor="background1"/>
                          <w:sz w:val="56"/>
                          <w:szCs w:val="56"/>
                          <w:lang w:val="en-US"/>
                        </w:rPr>
                        <w:t xml:space="preserve"> “Nestle’s Milk District Model: Economic Development for a Value-Added Food Chain and Improved Nutrition.” En Business Solutions for the Global Poor: Creating Economic and Social Value, edi- tado por Kasturi Rangan, John Quelch, Gustavo </w:t>
                      </w:r>
                    </w:p>
                    <w:p w14:paraId="7B57575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0BE65D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Gómez, Henry, Patricia Márquez y Michael Penfold. “Cómo AES-EDC generó re- laciones rentables en los barrios pobres de Caracas.” Harvard Business Review América Latina (diciembre de 2006): 68–</w:t>
                      </w:r>
                    </w:p>
                    <w:p w14:paraId="0356D79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3599321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Grootaert, Christiaan y Thierry van Bastelaer.</w:t>
                      </w:r>
                      <w:proofErr w:type="gramEnd"/>
                      <w:r w:rsidRPr="00C75EB7">
                        <w:rPr>
                          <w:rFonts w:ascii="Arial" w:hAnsi="Arial" w:cs="Arial"/>
                          <w:color w:val="FFFFFF" w:themeColor="background1"/>
                          <w:sz w:val="56"/>
                          <w:szCs w:val="56"/>
                          <w:lang w:val="en-US"/>
                        </w:rPr>
                        <w:t xml:space="preserve"> “Understanding and Measuring Social Capital: A Synthesis of Findings and Recommendations from the Social Capital Initiative.” </w:t>
                      </w:r>
                      <w:r w:rsidRPr="00C75EB7">
                        <w:rPr>
                          <w:rFonts w:ascii="Arial" w:hAnsi="Arial" w:cs="Arial"/>
                          <w:color w:val="FFFFFF" w:themeColor="background1"/>
                          <w:sz w:val="56"/>
                          <w:szCs w:val="56"/>
                        </w:rPr>
                        <w:t>Washington DC: Banco Mundial, 2001.</w:t>
                      </w:r>
                    </w:p>
                    <w:p w14:paraId="51246B3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7D31C6F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Gulati, Ranjay, Sarah Huffman y Gary Neilson.“The Barista Principle: Starbucks and the Rise of Relational Capital.” </w:t>
                      </w:r>
                      <w:proofErr w:type="gramStart"/>
                      <w:r w:rsidRPr="00C75EB7">
                        <w:rPr>
                          <w:rFonts w:ascii="Arial" w:hAnsi="Arial" w:cs="Arial"/>
                          <w:color w:val="FFFFFF" w:themeColor="background1"/>
                          <w:sz w:val="56"/>
                          <w:szCs w:val="56"/>
                          <w:lang w:val="en-US"/>
                        </w:rPr>
                        <w:t>Strategy &amp; Competition, 3o trimestre (2002).</w:t>
                      </w:r>
                      <w:proofErr w:type="gramEnd"/>
                    </w:p>
                    <w:p w14:paraId="79A9DA9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043411B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Hagel, John, John Seely Brown y Lang Davison. “Shaping Strategy in a World of Constant Disruption.” Harvard Business Review (octubre de 2008). </w:t>
                      </w:r>
                      <w:hyperlink r:id="rId31" w:history="1">
                        <w:r w:rsidRPr="00C75EB7">
                          <w:rPr>
                            <w:rStyle w:val="Hyperlink"/>
                            <w:rFonts w:ascii="Arial" w:hAnsi="Arial" w:cs="Arial"/>
                            <w:color w:val="FFFFFF" w:themeColor="background1"/>
                            <w:sz w:val="56"/>
                            <w:szCs w:val="56"/>
                            <w:lang w:val="en-US"/>
                          </w:rPr>
                          <w:t>http://www.johnseelybrown.com/shapingstrategy.pdf</w:t>
                        </w:r>
                      </w:hyperlink>
                    </w:p>
                    <w:p w14:paraId="5C97CC1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67D031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Hammond, Allen L., William J. Kramer, Robert S. Katz, Julia T. Tran y Courtland Walker. The Next 4 Billion: Market Size and Business Strategy at the Base of the Pyramid. Washington, DC: World Resources Institute y Corporación Financiera Internacional, 2007. </w:t>
                      </w:r>
                      <w:hyperlink r:id="rId32" w:history="1">
                        <w:r w:rsidRPr="00C75EB7">
                          <w:rPr>
                            <w:rStyle w:val="Hyperlink"/>
                            <w:rFonts w:ascii="Arial" w:hAnsi="Arial" w:cs="Arial"/>
                            <w:color w:val="FFFFFF" w:themeColor="background1"/>
                            <w:sz w:val="56"/>
                            <w:szCs w:val="56"/>
                            <w:lang w:val="en-US"/>
                          </w:rPr>
                          <w:t>http://www.wri.org/publication/the-next-4-billion</w:t>
                        </w:r>
                      </w:hyperlink>
                    </w:p>
                    <w:p w14:paraId="44ED664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27A47A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Hannan, Michael T. y John Freeman.</w:t>
                      </w:r>
                      <w:proofErr w:type="gramEnd"/>
                      <w:r w:rsidRPr="00C75EB7">
                        <w:rPr>
                          <w:rFonts w:ascii="Arial" w:hAnsi="Arial" w:cs="Arial"/>
                          <w:color w:val="FFFFFF" w:themeColor="background1"/>
                          <w:sz w:val="56"/>
                          <w:szCs w:val="56"/>
                          <w:lang w:val="en-US"/>
                        </w:rPr>
                        <w:t xml:space="preserve"> Organizational Ecology. Cambridge, MA: Harvard University Press, 1989.</w:t>
                      </w:r>
                    </w:p>
                    <w:p w14:paraId="081AB30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035398B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Hart, Stuart y Clayton Christensen.</w:t>
                      </w:r>
                      <w:proofErr w:type="gramEnd"/>
                      <w:r w:rsidRPr="00C75EB7">
                        <w:rPr>
                          <w:rFonts w:ascii="Arial" w:hAnsi="Arial" w:cs="Arial"/>
                          <w:color w:val="FFFFFF" w:themeColor="background1"/>
                          <w:sz w:val="56"/>
                          <w:szCs w:val="56"/>
                          <w:lang w:val="en-US"/>
                        </w:rPr>
                        <w:t xml:space="preserve"> “The Great Leap: Driving Innovation from the Base of the Pyramid.” MIT/Sloan Management Review 44, nro. </w:t>
                      </w:r>
                      <w:proofErr w:type="gramStart"/>
                      <w:r w:rsidRPr="00C75EB7">
                        <w:rPr>
                          <w:rFonts w:ascii="Arial" w:hAnsi="Arial" w:cs="Arial"/>
                          <w:color w:val="FFFFFF" w:themeColor="background1"/>
                          <w:sz w:val="56"/>
                          <w:szCs w:val="56"/>
                          <w:lang w:val="en-US"/>
                        </w:rPr>
                        <w:t>1 (2002).</w:t>
                      </w:r>
                      <w:proofErr w:type="gramEnd"/>
                      <w:r w:rsidRPr="00C75EB7">
                        <w:rPr>
                          <w:rFonts w:ascii="Arial" w:hAnsi="Arial" w:cs="Arial"/>
                          <w:color w:val="FFFFFF" w:themeColor="background1"/>
                          <w:sz w:val="56"/>
                          <w:szCs w:val="56"/>
                          <w:lang w:val="en-US"/>
                        </w:rPr>
                        <w:t xml:space="preserve"> </w:t>
                      </w:r>
                      <w:hyperlink r:id="rId33" w:history="1">
                        <w:r w:rsidRPr="00C75EB7">
                          <w:rPr>
                            <w:rStyle w:val="Hyperlink"/>
                            <w:rFonts w:ascii="Arial" w:hAnsi="Arial" w:cs="Arial"/>
                            <w:color w:val="FFFFFF" w:themeColor="background1"/>
                            <w:sz w:val="56"/>
                            <w:szCs w:val="56"/>
                            <w:lang w:val="en-US"/>
                          </w:rPr>
                          <w:t>http://www.stuartlhart.com/sites/stuartlhart.com/files/Hart%20%20Christensen%20Sloan%202003_0.pdf</w:t>
                        </w:r>
                      </w:hyperlink>
                    </w:p>
                    <w:p w14:paraId="3917928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85C44C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Hart, Stuart y Ted London.</w:t>
                      </w:r>
                      <w:proofErr w:type="gramEnd"/>
                      <w:r w:rsidRPr="00C75EB7">
                        <w:rPr>
                          <w:rFonts w:ascii="Arial" w:hAnsi="Arial" w:cs="Arial"/>
                          <w:color w:val="FFFFFF" w:themeColor="background1"/>
                          <w:sz w:val="56"/>
                          <w:szCs w:val="56"/>
                          <w:lang w:val="en-US"/>
                        </w:rPr>
                        <w:t xml:space="preserve"> “Developing Native Capability: What Multinational Corporations Can Learn from the Base of the Pyramid.” </w:t>
                      </w:r>
                      <w:r w:rsidRPr="00C75EB7">
                        <w:rPr>
                          <w:rFonts w:ascii="Arial" w:hAnsi="Arial" w:cs="Arial"/>
                          <w:color w:val="FFFFFF" w:themeColor="background1"/>
                          <w:sz w:val="56"/>
                          <w:szCs w:val="56"/>
                        </w:rPr>
                        <w:t>Stanford Social Innovation Review (2005): 28–33.</w:t>
                      </w:r>
                    </w:p>
                    <w:p w14:paraId="66C7053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7C2106E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Karnani, Aneel. “The Mirage of Marketing at the Bottom of the Pyramid.” California Management Review 49, nro. </w:t>
                      </w:r>
                      <w:proofErr w:type="gramStart"/>
                      <w:r w:rsidRPr="00C75EB7">
                        <w:rPr>
                          <w:rFonts w:ascii="Arial" w:hAnsi="Arial" w:cs="Arial"/>
                          <w:color w:val="FFFFFF" w:themeColor="background1"/>
                          <w:sz w:val="56"/>
                          <w:szCs w:val="56"/>
                          <w:lang w:val="en-US"/>
                        </w:rPr>
                        <w:t>4 (verano de 2007).</w:t>
                      </w:r>
                      <w:proofErr w:type="gramEnd"/>
                    </w:p>
                    <w:p w14:paraId="1A1264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 “Fortune at the Bottom of the Pyramid: A Mirage.” </w:t>
                      </w:r>
                      <w:proofErr w:type="gramStart"/>
                      <w:r w:rsidRPr="00C75EB7">
                        <w:rPr>
                          <w:rFonts w:ascii="Arial" w:hAnsi="Arial" w:cs="Arial"/>
                          <w:color w:val="FFFFFF" w:themeColor="background1"/>
                          <w:sz w:val="56"/>
                          <w:szCs w:val="56"/>
                          <w:lang w:val="en-US"/>
                        </w:rPr>
                        <w:t>Documento de trabajo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1035, Universidad de Michigan, Stephen M. Ross School of Business, 2006.</w:t>
                      </w:r>
                      <w:proofErr w:type="gramEnd"/>
                    </w:p>
                    <w:p w14:paraId="4E9AA64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DEAFDD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Kerlin, Janelle A. “Social Enterprise in the United States and Europe: Understanding and Learning from the Differences.” </w:t>
                      </w:r>
                      <w:r w:rsidRPr="00C75EB7">
                        <w:rPr>
                          <w:rFonts w:ascii="Arial" w:hAnsi="Arial" w:cs="Arial"/>
                          <w:color w:val="FFFFFF" w:themeColor="background1"/>
                          <w:sz w:val="56"/>
                          <w:szCs w:val="56"/>
                        </w:rPr>
                        <w:t>Voluntas 17, (2006): 247–63.</w:t>
                      </w:r>
                    </w:p>
                    <w:p w14:paraId="5B19E6F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BBE903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Leonard, Herman B. “When Is Doing Business with the Poor Good – for the Poor? A Household and National Income Accounting Approach.” En Business Solutions for the Global Poor: Creating Economic and Social Value, editado por Kasturi Rangan, John Quelch, </w:t>
                      </w:r>
                    </w:p>
                    <w:p w14:paraId="28AF327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430110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Gustavo Herrero y Brooke Barton.</w:t>
                      </w:r>
                      <w:proofErr w:type="gramEnd"/>
                      <w:r w:rsidRPr="00C75EB7">
                        <w:rPr>
                          <w:rFonts w:ascii="Arial" w:hAnsi="Arial" w:cs="Arial"/>
                          <w:color w:val="FFFFFF" w:themeColor="background1"/>
                          <w:sz w:val="56"/>
                          <w:szCs w:val="56"/>
                          <w:lang w:val="en-US"/>
                        </w:rPr>
                        <w:t xml:space="preserve"> San Francisco, CA: Jossey-Bass, 2007.</w:t>
                      </w:r>
                    </w:p>
                    <w:p w14:paraId="230A989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Lodge, George C. “The Corporate Key: Using Big Business to Fight Global Poverty.” </w:t>
                      </w:r>
                      <w:proofErr w:type="gramStart"/>
                      <w:r w:rsidRPr="00C75EB7">
                        <w:rPr>
                          <w:rFonts w:ascii="Arial" w:hAnsi="Arial" w:cs="Arial"/>
                          <w:color w:val="FFFFFF" w:themeColor="background1"/>
                          <w:sz w:val="56"/>
                          <w:szCs w:val="56"/>
                          <w:lang w:val="en-US"/>
                        </w:rPr>
                        <w:t>Foreign Affairs 81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4 (2002): 13–18.</w:t>
                      </w:r>
                      <w:proofErr w:type="gramEnd"/>
                    </w:p>
                    <w:p w14:paraId="688D425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0E36906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London, Ted. “The Base-of-the-Pyramid Perspective: A New Approach to Poverty Alleviation.” </w:t>
                      </w:r>
                      <w:proofErr w:type="gramStart"/>
                      <w:r w:rsidRPr="00C75EB7">
                        <w:rPr>
                          <w:rFonts w:ascii="Arial" w:hAnsi="Arial" w:cs="Arial"/>
                          <w:color w:val="FFFFFF" w:themeColor="background1"/>
                          <w:sz w:val="56"/>
                          <w:szCs w:val="56"/>
                          <w:lang w:val="en-US"/>
                        </w:rPr>
                        <w:t>Documento de trabajo, William Davidson Institute/Stephen M. Ross School of Business, 2008.</w:t>
                      </w:r>
                      <w:proofErr w:type="gramEnd"/>
                    </w:p>
                    <w:p w14:paraId="5E4F350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FB25DC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London, Ted y Stuart L. Hart.</w:t>
                      </w:r>
                      <w:proofErr w:type="gramEnd"/>
                      <w:r w:rsidRPr="00C75EB7">
                        <w:rPr>
                          <w:rFonts w:ascii="Arial" w:hAnsi="Arial" w:cs="Arial"/>
                          <w:color w:val="FFFFFF" w:themeColor="background1"/>
                          <w:sz w:val="56"/>
                          <w:szCs w:val="56"/>
                          <w:lang w:val="en-US"/>
                        </w:rPr>
                        <w:t xml:space="preserve"> “Reinventing Strategies for Emerging Markets: Beyond the Transnational Model.” </w:t>
                      </w:r>
                      <w:proofErr w:type="gramStart"/>
                      <w:r w:rsidRPr="00C75EB7">
                        <w:rPr>
                          <w:rFonts w:ascii="Arial" w:hAnsi="Arial" w:cs="Arial"/>
                          <w:color w:val="FFFFFF" w:themeColor="background1"/>
                          <w:sz w:val="56"/>
                          <w:szCs w:val="56"/>
                          <w:lang w:val="en-US"/>
                        </w:rPr>
                        <w:t>Journal of International Business Studies 35 (2004): 350–70.</w:t>
                      </w:r>
                      <w:proofErr w:type="gramEnd"/>
                    </w:p>
                    <w:p w14:paraId="18C48E6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7971F7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Mellor, John W. “Faster, More Equitable Growth—The Relation Between Growth in Agriculture and Poverty Reduction Agricultural Policy.” </w:t>
                      </w:r>
                      <w:proofErr w:type="gramStart"/>
                      <w:r w:rsidRPr="00C75EB7">
                        <w:rPr>
                          <w:rFonts w:ascii="Arial" w:hAnsi="Arial" w:cs="Arial"/>
                          <w:color w:val="FFFFFF" w:themeColor="background1"/>
                          <w:sz w:val="56"/>
                          <w:szCs w:val="56"/>
                          <w:lang w:val="en-US"/>
                        </w:rPr>
                        <w:t>En Development Project Research Report.</w:t>
                      </w:r>
                      <w:proofErr w:type="gramEnd"/>
                      <w:r w:rsidRPr="00C75EB7">
                        <w:rPr>
                          <w:rFonts w:ascii="Arial" w:hAnsi="Arial" w:cs="Arial"/>
                          <w:color w:val="FFFFFF" w:themeColor="background1"/>
                          <w:sz w:val="56"/>
                          <w:szCs w:val="56"/>
                          <w:lang w:val="en-US"/>
                        </w:rPr>
                        <w:t xml:space="preserve"> Cambridge, MA: Abt Associates Inc., octubre de 1999.</w:t>
                      </w:r>
                    </w:p>
                    <w:p w14:paraId="0B9E03B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801A99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Milstein, M. B., Ted London y Stuart Hart. “Revolutionary Routines: Capturing the Opportunity for Creating a More Inclusive Capitalism.” En Handbook of Cooperative Colaboration: New Designs and Dynamics, editado por S. K. Piderit, R. E. Fry y D. L. Cooperrider. </w:t>
                      </w:r>
                      <w:r w:rsidRPr="00C75EB7">
                        <w:rPr>
                          <w:rFonts w:ascii="Arial" w:hAnsi="Arial" w:cs="Arial"/>
                          <w:color w:val="FFFFFF" w:themeColor="background1"/>
                          <w:sz w:val="56"/>
                          <w:szCs w:val="56"/>
                        </w:rPr>
                        <w:t>Stanford, CA: Stanford University Press, 2007.</w:t>
                      </w:r>
                    </w:p>
                    <w:p w14:paraId="02D420D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EFB70F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Moore, James F. The Death of Competition: Leadership &amp; Strategy in the Age of Business Ecosystems. Nueva York: HarperBusiness, 1996.</w:t>
                      </w:r>
                    </w:p>
                    <w:p w14:paraId="2F290C9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4D6014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Porter, Michael E. </w:t>
                      </w:r>
                      <w:proofErr w:type="gramStart"/>
                      <w:r w:rsidRPr="00C75EB7">
                        <w:rPr>
                          <w:rFonts w:ascii="Arial" w:hAnsi="Arial" w:cs="Arial"/>
                          <w:color w:val="FFFFFF" w:themeColor="background1"/>
                          <w:sz w:val="56"/>
                          <w:szCs w:val="56"/>
                          <w:lang w:val="en-US"/>
                        </w:rPr>
                        <w:t>The Competitive Advantage of Nations.</w:t>
                      </w:r>
                      <w:proofErr w:type="gramEnd"/>
                      <w:r w:rsidRPr="00C75EB7">
                        <w:rPr>
                          <w:rFonts w:ascii="Arial" w:hAnsi="Arial" w:cs="Arial"/>
                          <w:color w:val="FFFFFF" w:themeColor="background1"/>
                          <w:sz w:val="56"/>
                          <w:szCs w:val="56"/>
                          <w:lang w:val="en-US"/>
                        </w:rPr>
                        <w:t xml:space="preserve"> Nueva York: The Free Press, 1990.</w:t>
                      </w:r>
                    </w:p>
                    <w:p w14:paraId="30FC18F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256DEE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Prahalad, C. K.</w:t>
                      </w:r>
                      <w:proofErr w:type="gramEnd"/>
                      <w:r w:rsidRPr="00C75EB7">
                        <w:rPr>
                          <w:rFonts w:ascii="Arial" w:hAnsi="Arial" w:cs="Arial"/>
                          <w:color w:val="FFFFFF" w:themeColor="background1"/>
                          <w:sz w:val="56"/>
                          <w:szCs w:val="56"/>
                          <w:lang w:val="en-US"/>
                        </w:rPr>
                        <w:t xml:space="preserve"> The Fortune at the Bottom of the Pyramid: Eradicating Poverty through Profits. Upper Saddle River, NJ: Wharton School Publishing, 2005.</w:t>
                      </w:r>
                    </w:p>
                    <w:p w14:paraId="69B2F51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 “The Innovation Sandbox.” Strategy + Business, 2005, 1–10. . “Why Selling to the Poor Makes for Good Business.” </w:t>
                      </w:r>
                      <w:r w:rsidRPr="00C75EB7">
                        <w:rPr>
                          <w:rFonts w:ascii="Arial" w:hAnsi="Arial" w:cs="Arial"/>
                          <w:color w:val="FFFFFF" w:themeColor="background1"/>
                          <w:sz w:val="56"/>
                          <w:szCs w:val="56"/>
                        </w:rPr>
                        <w:t xml:space="preserve">Fortune, 15 de noviembre de 2004, 70–72. Prahalad, C. K. y Allen Hammond. </w:t>
                      </w:r>
                      <w:r w:rsidRPr="00C75EB7">
                        <w:rPr>
                          <w:rFonts w:ascii="Arial" w:hAnsi="Arial" w:cs="Arial"/>
                          <w:color w:val="FFFFFF" w:themeColor="background1"/>
                          <w:sz w:val="56"/>
                          <w:szCs w:val="56"/>
                          <w:lang w:val="en-US"/>
                        </w:rPr>
                        <w:t>“Serving the World’s Poor, Profitably.” Harvard</w:t>
                      </w:r>
                    </w:p>
                    <w:p w14:paraId="1171B97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2E4EDF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roofErr w:type="gramStart"/>
                      <w:r w:rsidRPr="00C75EB7">
                        <w:rPr>
                          <w:rFonts w:ascii="Arial" w:hAnsi="Arial" w:cs="Arial"/>
                          <w:color w:val="FFFFFF" w:themeColor="background1"/>
                          <w:sz w:val="56"/>
                          <w:szCs w:val="56"/>
                          <w:lang w:val="en-US"/>
                        </w:rPr>
                        <w:t>Business Review (2002).</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Prahalad, C. K. y Stuart Hart.</w:t>
                      </w:r>
                      <w:proofErr w:type="gramEnd"/>
                      <w:r w:rsidRPr="00C75EB7">
                        <w:rPr>
                          <w:rFonts w:ascii="Arial" w:hAnsi="Arial" w:cs="Arial"/>
                          <w:color w:val="FFFFFF" w:themeColor="background1"/>
                          <w:sz w:val="56"/>
                          <w:szCs w:val="56"/>
                          <w:lang w:val="en-US"/>
                        </w:rPr>
                        <w:t xml:space="preserve"> “The Fortune at the Bottom of the Pyramid.” </w:t>
                      </w:r>
                      <w:r w:rsidRPr="00C75EB7">
                        <w:rPr>
                          <w:rFonts w:ascii="Arial" w:hAnsi="Arial" w:cs="Arial"/>
                          <w:color w:val="FFFFFF" w:themeColor="background1"/>
                          <w:sz w:val="56"/>
                          <w:szCs w:val="56"/>
                        </w:rPr>
                        <w:t xml:space="preserve">Strategy+ Business 1, nro. 26 (2002). </w:t>
                      </w:r>
                    </w:p>
                    <w:p w14:paraId="3389C72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7A9829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 xml:space="preserve">Reficco, Ezequiel y Patricia Márquez. </w:t>
                      </w:r>
                      <w:r w:rsidRPr="00C75EB7">
                        <w:rPr>
                          <w:rFonts w:ascii="Arial" w:hAnsi="Arial" w:cs="Arial"/>
                          <w:color w:val="FFFFFF" w:themeColor="background1"/>
                          <w:sz w:val="56"/>
                          <w:szCs w:val="56"/>
                          <w:lang w:val="en-US"/>
                        </w:rPr>
                        <w:t xml:space="preserve">“Socially Inclusive Networks for Building BOP Markets.” </w:t>
                      </w:r>
                      <w:r w:rsidRPr="00C75EB7">
                        <w:rPr>
                          <w:rFonts w:ascii="Arial" w:hAnsi="Arial" w:cs="Arial"/>
                          <w:color w:val="FFFFFF" w:themeColor="background1"/>
                          <w:sz w:val="56"/>
                          <w:szCs w:val="56"/>
                        </w:rPr>
                        <w:t>Documento de trabajo, School of Business Administration, Universidad de San Diego, octubre de 2007.</w:t>
                      </w:r>
                    </w:p>
                    <w:p w14:paraId="4D031AB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 “Inclusive Networks for Building BOP Markets.” </w:t>
                      </w:r>
                      <w:r w:rsidRPr="00C75EB7">
                        <w:rPr>
                          <w:rFonts w:ascii="Arial" w:hAnsi="Arial" w:cs="Arial"/>
                          <w:color w:val="FFFFFF" w:themeColor="background1"/>
                          <w:sz w:val="56"/>
                          <w:szCs w:val="56"/>
                        </w:rPr>
                        <w:t>Business &amp; Society (de próxima publicación).</w:t>
                      </w:r>
                    </w:p>
                    <w:p w14:paraId="0B24CC1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DB6D15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Rufín, Carlos. “The Role of Government: LIS Market Initiatives and the Public Sector.” </w:t>
                      </w:r>
                      <w:r w:rsidRPr="00C75EB7">
                        <w:rPr>
                          <w:rFonts w:ascii="Arial" w:hAnsi="Arial" w:cs="Arial"/>
                          <w:color w:val="FFFFFF" w:themeColor="background1"/>
                          <w:sz w:val="56"/>
                          <w:szCs w:val="56"/>
                        </w:rPr>
                        <w:t>ReVista: Harvard Review of Latin America (otoño de 2006): 45–46.</w:t>
                      </w:r>
                    </w:p>
                    <w:p w14:paraId="0989026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682D9ABB"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Rufín, Carlos y Luis Fernando Arboleda. </w:t>
                      </w:r>
                      <w:r w:rsidRPr="00C75EB7">
                        <w:rPr>
                          <w:rFonts w:ascii="Arial" w:hAnsi="Arial" w:cs="Arial"/>
                          <w:color w:val="FFFFFF" w:themeColor="background1"/>
                          <w:sz w:val="56"/>
                          <w:szCs w:val="56"/>
                          <w:lang w:val="en-US"/>
                        </w:rPr>
                        <w:t xml:space="preserve">“Utilities and the Poor: A Story from Colombia.” En Business Solutions for the Global Poor: Creating Economic and Social Value, editado por </w:t>
                      </w:r>
                    </w:p>
                    <w:p w14:paraId="3895E10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8E7D03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Kasturi Rangan, John Quelch, Gustavo Herrero y Brooke Barton. </w:t>
                      </w:r>
                      <w:r w:rsidRPr="00C75EB7">
                        <w:rPr>
                          <w:rFonts w:ascii="Arial" w:hAnsi="Arial" w:cs="Arial"/>
                          <w:color w:val="FFFFFF" w:themeColor="background1"/>
                          <w:sz w:val="56"/>
                          <w:szCs w:val="56"/>
                        </w:rPr>
                        <w:t>San Francisco, CA: Jossey-Bass, 2007.</w:t>
                      </w:r>
                    </w:p>
                    <w:p w14:paraId="202BD10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BFEEDD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Rufín, Carlos y Miguel Rivera-Santos. </w:t>
                      </w:r>
                      <w:r w:rsidRPr="00C75EB7">
                        <w:rPr>
                          <w:rFonts w:ascii="Arial" w:hAnsi="Arial" w:cs="Arial"/>
                          <w:color w:val="FFFFFF" w:themeColor="background1"/>
                          <w:sz w:val="56"/>
                          <w:szCs w:val="56"/>
                          <w:lang w:val="en-US"/>
                        </w:rPr>
                        <w:t xml:space="preserve">“Global Village vs. Small Town: Understanding Networks at the Base of the Pyramid.” </w:t>
                      </w:r>
                      <w:proofErr w:type="gramStart"/>
                      <w:r w:rsidRPr="00C75EB7">
                        <w:rPr>
                          <w:rFonts w:ascii="Arial" w:hAnsi="Arial" w:cs="Arial"/>
                          <w:color w:val="FFFFFF" w:themeColor="background1"/>
                          <w:sz w:val="56"/>
                          <w:szCs w:val="56"/>
                          <w:lang w:val="en-US"/>
                        </w:rPr>
                        <w:t>Documento inédito, 2008.</w:t>
                      </w:r>
                      <w:proofErr w:type="gramEnd"/>
                    </w:p>
                    <w:p w14:paraId="0DF6DAA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Salamon, Lester M. “The Rise of the Nonprofit Sector.” </w:t>
                      </w:r>
                      <w:proofErr w:type="gramStart"/>
                      <w:r w:rsidRPr="00C75EB7">
                        <w:rPr>
                          <w:rFonts w:ascii="Arial" w:hAnsi="Arial" w:cs="Arial"/>
                          <w:color w:val="FFFFFF" w:themeColor="background1"/>
                          <w:sz w:val="56"/>
                          <w:szCs w:val="56"/>
                          <w:lang w:val="en-US"/>
                        </w:rPr>
                        <w:t>Foreign Affairs 73,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4 (1994): 109–22.</w:t>
                      </w:r>
                      <w:proofErr w:type="gramEnd"/>
                    </w:p>
                    <w:p w14:paraId="522DE23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54C841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Scherer, A. G. y G. Palazzo.“Toward a Political Conception of Corporate Responsibility: Business and Society Seen from a Habermasian Perspective.” </w:t>
                      </w:r>
                      <w:proofErr w:type="gramStart"/>
                      <w:r w:rsidRPr="00C75EB7">
                        <w:rPr>
                          <w:rFonts w:ascii="Arial" w:hAnsi="Arial" w:cs="Arial"/>
                          <w:color w:val="FFFFFF" w:themeColor="background1"/>
                          <w:sz w:val="56"/>
                          <w:szCs w:val="56"/>
                          <w:lang w:val="en-US"/>
                        </w:rPr>
                        <w:t>Academy of Management Review 32,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4 (2007): 1096–120.</w:t>
                      </w:r>
                      <w:proofErr w:type="gramEnd"/>
                    </w:p>
                    <w:p w14:paraId="237448F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3F1FE0B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4FC435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SEKN (Red de Conocimientos sobre Emprendimientos Sociales). Gestión efectiva de emprendimientos sociales: Lecciones extraídas de empresas y organizaciones de la sociedad civil en Iberoamérica. </w:t>
                      </w:r>
                      <w:r w:rsidRPr="00C75EB7">
                        <w:rPr>
                          <w:rFonts w:ascii="Arial" w:hAnsi="Arial" w:cs="Arial"/>
                          <w:color w:val="FFFFFF" w:themeColor="background1"/>
                          <w:sz w:val="56"/>
                          <w:szCs w:val="56"/>
                          <w:lang w:val="en-US"/>
                        </w:rPr>
                        <w:t>Cambridge, MA: Harvard University Press con el David Rockefeller Center for Latin American Studies, 2006.</w:t>
                      </w:r>
                    </w:p>
                    <w:p w14:paraId="1CB0344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2ED343B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Sen, Amartya Kumar. </w:t>
                      </w:r>
                      <w:proofErr w:type="gramStart"/>
                      <w:r w:rsidRPr="00C75EB7">
                        <w:rPr>
                          <w:rFonts w:ascii="Arial" w:hAnsi="Arial" w:cs="Arial"/>
                          <w:color w:val="FFFFFF" w:themeColor="background1"/>
                          <w:sz w:val="56"/>
                          <w:szCs w:val="56"/>
                          <w:lang w:val="en-US"/>
                        </w:rPr>
                        <w:t>Development as Freedom.</w:t>
                      </w:r>
                      <w:proofErr w:type="gramEnd"/>
                      <w:r w:rsidRPr="00C75EB7">
                        <w:rPr>
                          <w:rFonts w:ascii="Arial" w:hAnsi="Arial" w:cs="Arial"/>
                          <w:color w:val="FFFFFF" w:themeColor="background1"/>
                          <w:sz w:val="56"/>
                          <w:szCs w:val="56"/>
                          <w:lang w:val="en-US"/>
                        </w:rPr>
                        <w:t xml:space="preserve"> Nueva York: Oxford University Press, 1999.</w:t>
                      </w:r>
                    </w:p>
                    <w:p w14:paraId="79D8AF58"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Sharma, Sanjay y Frances Westley.</w:t>
                      </w:r>
                      <w:proofErr w:type="gramEnd"/>
                      <w:r w:rsidRPr="00C75EB7">
                        <w:rPr>
                          <w:rFonts w:ascii="Arial" w:hAnsi="Arial" w:cs="Arial"/>
                          <w:color w:val="FFFFFF" w:themeColor="background1"/>
                          <w:sz w:val="56"/>
                          <w:szCs w:val="56"/>
                          <w:lang w:val="en-US"/>
                        </w:rPr>
                        <w:t xml:space="preserve"> “Strategic Bridging: A Role for the Multinational Corporation in Third World Development.” </w:t>
                      </w:r>
                      <w:proofErr w:type="gramStart"/>
                      <w:r w:rsidRPr="00C75EB7">
                        <w:rPr>
                          <w:rFonts w:ascii="Arial" w:hAnsi="Arial" w:cs="Arial"/>
                          <w:color w:val="FFFFFF" w:themeColor="background1"/>
                          <w:sz w:val="56"/>
                          <w:szCs w:val="56"/>
                          <w:lang w:val="en-US"/>
                        </w:rPr>
                        <w:t>Journal of Applied Behavioral Sciences 30,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4 (1994): 458–76.</w:t>
                      </w:r>
                      <w:proofErr w:type="gramEnd"/>
                    </w:p>
                    <w:p w14:paraId="08CBBF3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0B72E7AA"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Simanis, Erik y Stuart Hart.</w:t>
                      </w:r>
                      <w:proofErr w:type="gramEnd"/>
                      <w:r w:rsidRPr="00C75EB7">
                        <w:rPr>
                          <w:rFonts w:ascii="Arial" w:hAnsi="Arial" w:cs="Arial"/>
                          <w:color w:val="FFFFFF" w:themeColor="background1"/>
                          <w:sz w:val="56"/>
                          <w:szCs w:val="56"/>
                          <w:lang w:val="en-US"/>
                        </w:rPr>
                        <w:t xml:space="preserve"> “The Base of the Pyramid Protocol: Toward Next Generation BOP Strategy” (2008), http://www.johnson.cornell.edu/sge/docs/ BoP_Protocol_2nd_ed.pdf.</w:t>
                      </w:r>
                    </w:p>
                    <w:p w14:paraId="522E19F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 “Beyond Selling to the Poor: Building Business Intimacy through Embedded Innovation.” </w:t>
                      </w:r>
                      <w:r w:rsidRPr="00C75EB7">
                        <w:rPr>
                          <w:rFonts w:ascii="Arial" w:hAnsi="Arial" w:cs="Arial"/>
                          <w:color w:val="FFFFFF" w:themeColor="background1"/>
                          <w:sz w:val="56"/>
                          <w:szCs w:val="56"/>
                        </w:rPr>
                        <w:t>Ithaca: documento de trabajo, Universidad de Cornell, 2008.</w:t>
                      </w:r>
                    </w:p>
                    <w:p w14:paraId="4DA6A47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D01637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Simanis, Erik, Stuart Hart, Gordon Enk, Duncan Duke, et al. “Strategic Initiatives at the Base of the Pyramid: A Protocol for Mutual Value Creation.” </w:t>
                      </w:r>
                      <w:proofErr w:type="gramStart"/>
                      <w:r w:rsidRPr="00C75EB7">
                        <w:rPr>
                          <w:rFonts w:ascii="Arial" w:hAnsi="Arial" w:cs="Arial"/>
                          <w:color w:val="FFFFFF" w:themeColor="background1"/>
                          <w:sz w:val="56"/>
                          <w:szCs w:val="56"/>
                          <w:lang w:val="en-US"/>
                        </w:rPr>
                        <w:t>Base of the Pyramid Protocol Workshop Group, Wingspread Conference Center.</w:t>
                      </w:r>
                      <w:proofErr w:type="gramEnd"/>
                      <w:r w:rsidRPr="00C75EB7">
                        <w:rPr>
                          <w:rFonts w:ascii="Arial" w:hAnsi="Arial" w:cs="Arial"/>
                          <w:color w:val="FFFFFF" w:themeColor="background1"/>
                          <w:sz w:val="56"/>
                          <w:szCs w:val="56"/>
                          <w:lang w:val="en-US"/>
                        </w:rPr>
                        <w:t xml:space="preserve"> </w:t>
                      </w:r>
                      <w:r w:rsidRPr="00C75EB7">
                        <w:rPr>
                          <w:rFonts w:ascii="Arial" w:hAnsi="Arial" w:cs="Arial"/>
                          <w:color w:val="FFFFFF" w:themeColor="background1"/>
                          <w:sz w:val="56"/>
                          <w:szCs w:val="56"/>
                        </w:rPr>
                        <w:t>Racine, WI, 2005.</w:t>
                      </w:r>
                    </w:p>
                    <w:p w14:paraId="0951C97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21A9952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SNV. “A Firm-Level Approach to Majority Market Business: Private Sector Mapping (PSM) Project Final Report.” </w:t>
                      </w:r>
                      <w:r w:rsidRPr="00C75EB7">
                        <w:rPr>
                          <w:rFonts w:ascii="Arial" w:hAnsi="Arial" w:cs="Arial"/>
                          <w:color w:val="FFFFFF" w:themeColor="background1"/>
                          <w:sz w:val="56"/>
                          <w:szCs w:val="56"/>
                        </w:rPr>
                        <w:t>Washington, DC: SNV (Organización de desarrollo internacional de los Países Bajos) y Banco Interamericano de Desarrollo, 2008.</w:t>
                      </w:r>
                    </w:p>
                    <w:p w14:paraId="01CC7767"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1C0D69A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SNV &amp; World Business Council for Sustainable Development.</w:t>
                      </w:r>
                      <w:proofErr w:type="gramEnd"/>
                      <w:r w:rsidRPr="00C75EB7">
                        <w:rPr>
                          <w:rFonts w:ascii="Arial" w:hAnsi="Arial" w:cs="Arial"/>
                          <w:color w:val="FFFFFF" w:themeColor="background1"/>
                          <w:sz w:val="56"/>
                          <w:szCs w:val="56"/>
                          <w:lang w:val="en-US"/>
                        </w:rPr>
                        <w:t xml:space="preserve"> “Inclusive Business: Profitable Business for Successful Development” (2008), http://wbcsd.typepad. </w:t>
                      </w:r>
                      <w:proofErr w:type="gramStart"/>
                      <w:r w:rsidRPr="00C75EB7">
                        <w:rPr>
                          <w:rFonts w:ascii="Arial" w:hAnsi="Arial" w:cs="Arial"/>
                          <w:color w:val="FFFFFF" w:themeColor="background1"/>
                          <w:sz w:val="56"/>
                          <w:szCs w:val="56"/>
                          <w:lang w:val="en-US"/>
                        </w:rPr>
                        <w:t>com</w:t>
                      </w:r>
                      <w:proofErr w:type="gramEnd"/>
                      <w:r w:rsidRPr="00C75EB7">
                        <w:rPr>
                          <w:rFonts w:ascii="Arial" w:hAnsi="Arial" w:cs="Arial"/>
                          <w:color w:val="FFFFFF" w:themeColor="background1"/>
                          <w:sz w:val="56"/>
                          <w:szCs w:val="56"/>
                          <w:lang w:val="en-US"/>
                        </w:rPr>
                        <w:t>/wbcsdsnv/wbcsd_snv_alliance_brochure_march_08_web.pdf.</w:t>
                      </w:r>
                    </w:p>
                    <w:p w14:paraId="499B379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62AF5E8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Sullivan, Nicholas. You Can Hear Me Now: How Microloans and Cell Phones Are Connecting the World’s Poor to the Global Economy. </w:t>
                      </w:r>
                      <w:r w:rsidRPr="00C75EB7">
                        <w:rPr>
                          <w:rFonts w:ascii="Arial" w:hAnsi="Arial" w:cs="Arial"/>
                          <w:color w:val="FFFFFF" w:themeColor="background1"/>
                          <w:sz w:val="56"/>
                          <w:szCs w:val="56"/>
                        </w:rPr>
                        <w:t>San Francisco, CA: Jossey Bass, 2007.</w:t>
                      </w:r>
                    </w:p>
                    <w:p w14:paraId="7CC9A13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rPr>
                        <w:t xml:space="preserve">Tencati, Antonio y Laszlo Zsolnai. </w:t>
                      </w:r>
                      <w:r w:rsidRPr="00C75EB7">
                        <w:rPr>
                          <w:rFonts w:ascii="Arial" w:hAnsi="Arial" w:cs="Arial"/>
                          <w:color w:val="FFFFFF" w:themeColor="background1"/>
                          <w:sz w:val="56"/>
                          <w:szCs w:val="56"/>
                          <w:lang w:val="en-US"/>
                        </w:rPr>
                        <w:t xml:space="preserve">“The Collaborative Enterprise.” </w:t>
                      </w:r>
                      <w:proofErr w:type="gramStart"/>
                      <w:r w:rsidRPr="00C75EB7">
                        <w:rPr>
                          <w:rFonts w:ascii="Arial" w:hAnsi="Arial" w:cs="Arial"/>
                          <w:color w:val="FFFFFF" w:themeColor="background1"/>
                          <w:sz w:val="56"/>
                          <w:szCs w:val="56"/>
                          <w:lang w:val="en-US"/>
                        </w:rPr>
                        <w:t>Journal of Business Ethics (2009): 367–76.</w:t>
                      </w:r>
                      <w:proofErr w:type="gramEnd"/>
                    </w:p>
                    <w:p w14:paraId="5E3A2B0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789144A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lang w:val="en-US"/>
                        </w:rPr>
                        <w:t xml:space="preserve">The Economist. “The End of Cheap Food.” </w:t>
                      </w:r>
                      <w:r w:rsidRPr="00C75EB7">
                        <w:rPr>
                          <w:rFonts w:ascii="Arial" w:hAnsi="Arial" w:cs="Arial"/>
                          <w:color w:val="FFFFFF" w:themeColor="background1"/>
                          <w:sz w:val="56"/>
                          <w:szCs w:val="56"/>
                        </w:rPr>
                        <w:t>The Economist, 8 de diciembre de 2007. Todorov, Tzvetan. La vida en común. Ensayo de antropología general. Madrid:</w:t>
                      </w:r>
                    </w:p>
                    <w:p w14:paraId="7803420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Taurus, 1995.</w:t>
                      </w:r>
                    </w:p>
                    <w:p w14:paraId="30083F7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7767724"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r w:rsidRPr="00C75EB7">
                        <w:rPr>
                          <w:rFonts w:ascii="Arial" w:hAnsi="Arial" w:cs="Arial"/>
                          <w:color w:val="FFFFFF" w:themeColor="background1"/>
                          <w:sz w:val="56"/>
                          <w:szCs w:val="56"/>
                        </w:rPr>
                        <w:t>Trujillo Cárdenas, Diana y Roberto Gutiérrez. “The Base of the Pyramid, Citizenship above Consumerism: Colombia’s Colcerámica.” ReVista: Harvard Review of Latin America (otoño de 2006).</w:t>
                      </w:r>
                    </w:p>
                    <w:p w14:paraId="26C5768C"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061A3D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USAID. “Innovative Approaches to Slum Electrification.” Washington, DC: Bureau for Economic Growth, Agriculture and Trade, diciembre de 2004.</w:t>
                      </w:r>
                    </w:p>
                    <w:p w14:paraId="3CD8284E"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4B8F1C1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Weiser, John, Michele Kahane, Steve Rochlin y Jessica Landis. Untapped: Creating Value in Underserved Markets. San Francisco, CA: Berrett-Koehler Publishers, 2006.</w:t>
                      </w:r>
                    </w:p>
                    <w:p w14:paraId="4C349756"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189E8BF2"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roofErr w:type="gramStart"/>
                      <w:r w:rsidRPr="00C75EB7">
                        <w:rPr>
                          <w:rFonts w:ascii="Arial" w:hAnsi="Arial" w:cs="Arial"/>
                          <w:color w:val="FFFFFF" w:themeColor="background1"/>
                          <w:sz w:val="56"/>
                          <w:szCs w:val="56"/>
                          <w:lang w:val="en-US"/>
                        </w:rPr>
                        <w:t>Westley, Frances y Harrie Vredenburg.</w:t>
                      </w:r>
                      <w:proofErr w:type="gramEnd"/>
                      <w:r w:rsidRPr="00C75EB7">
                        <w:rPr>
                          <w:rFonts w:ascii="Arial" w:hAnsi="Arial" w:cs="Arial"/>
                          <w:color w:val="FFFFFF" w:themeColor="background1"/>
                          <w:sz w:val="56"/>
                          <w:szCs w:val="56"/>
                          <w:lang w:val="en-US"/>
                        </w:rPr>
                        <w:t xml:space="preserve"> “Strategic Bridging: The Collaboration between Environmentalists and Business in the Marketing of Green Products.” </w:t>
                      </w:r>
                      <w:proofErr w:type="gramStart"/>
                      <w:r w:rsidRPr="00C75EB7">
                        <w:rPr>
                          <w:rFonts w:ascii="Arial" w:hAnsi="Arial" w:cs="Arial"/>
                          <w:color w:val="FFFFFF" w:themeColor="background1"/>
                          <w:sz w:val="56"/>
                          <w:szCs w:val="56"/>
                          <w:lang w:val="en-US"/>
                        </w:rPr>
                        <w:t>Journal of Applied Behavioral Sciences 27, nro.</w:t>
                      </w:r>
                      <w:proofErr w:type="gramEnd"/>
                      <w:r w:rsidRPr="00C75EB7">
                        <w:rPr>
                          <w:rFonts w:ascii="Arial" w:hAnsi="Arial" w:cs="Arial"/>
                          <w:color w:val="FFFFFF" w:themeColor="background1"/>
                          <w:sz w:val="56"/>
                          <w:szCs w:val="56"/>
                          <w:lang w:val="en-US"/>
                        </w:rPr>
                        <w:t xml:space="preserve"> </w:t>
                      </w:r>
                      <w:proofErr w:type="gramStart"/>
                      <w:r w:rsidRPr="00C75EB7">
                        <w:rPr>
                          <w:rFonts w:ascii="Arial" w:hAnsi="Arial" w:cs="Arial"/>
                          <w:color w:val="FFFFFF" w:themeColor="background1"/>
                          <w:sz w:val="56"/>
                          <w:szCs w:val="56"/>
                          <w:lang w:val="en-US"/>
                        </w:rPr>
                        <w:t>1 (1991): 65–90.</w:t>
                      </w:r>
                      <w:proofErr w:type="gramEnd"/>
                    </w:p>
                    <w:p w14:paraId="156B8441"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8BD7413"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r w:rsidRPr="00C75EB7">
                        <w:rPr>
                          <w:rFonts w:ascii="Arial" w:hAnsi="Arial" w:cs="Arial"/>
                          <w:color w:val="FFFFFF" w:themeColor="background1"/>
                          <w:sz w:val="56"/>
                          <w:szCs w:val="56"/>
                          <w:lang w:val="en-US"/>
                        </w:rPr>
                        <w:t xml:space="preserve">Wheeler, David, Kevin McKague, Jane Thompson, Rachel Davies, et al. “Creating Sustainable Local Enterprise Networks.” MIT/Sloan Review 47, nro. </w:t>
                      </w:r>
                      <w:proofErr w:type="gramStart"/>
                      <w:r w:rsidRPr="00C75EB7">
                        <w:rPr>
                          <w:rFonts w:ascii="Arial" w:hAnsi="Arial" w:cs="Arial"/>
                          <w:color w:val="FFFFFF" w:themeColor="background1"/>
                          <w:sz w:val="56"/>
                          <w:szCs w:val="56"/>
                          <w:lang w:val="en-US"/>
                        </w:rPr>
                        <w:t>1 (2005): 33–40.</w:t>
                      </w:r>
                      <w:proofErr w:type="gramEnd"/>
                    </w:p>
                    <w:p w14:paraId="771ADB29"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lang w:val="en-US"/>
                        </w:rPr>
                      </w:pPr>
                    </w:p>
                    <w:p w14:paraId="5C56A110"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026DD5AF"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4AAB3925" w14:textId="77777777" w:rsidR="00D41FC4" w:rsidRPr="00C75EB7" w:rsidRDefault="00D41FC4" w:rsidP="00C75E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color w:val="FFFFFF" w:themeColor="background1"/>
                          <w:sz w:val="56"/>
                          <w:szCs w:val="56"/>
                        </w:rPr>
                      </w:pPr>
                    </w:p>
                    <w:p w14:paraId="25BC1E7B" w14:textId="77777777" w:rsidR="00D41FC4" w:rsidRPr="00C75EB7" w:rsidRDefault="00D41FC4" w:rsidP="00C75EB7">
                      <w:pPr>
                        <w:spacing w:line="360" w:lineRule="auto"/>
                        <w:ind w:left="360"/>
                        <w:jc w:val="both"/>
                        <w:rPr>
                          <w:rFonts w:ascii="Arial" w:hAnsi="Arial" w:cs="Arial"/>
                          <w:color w:val="FFFFFF" w:themeColor="background1"/>
                          <w:sz w:val="56"/>
                          <w:szCs w:val="56"/>
                        </w:rPr>
                      </w:pPr>
                    </w:p>
                    <w:p w14:paraId="3CEA1D97" w14:textId="77777777" w:rsidR="00D41FC4" w:rsidRPr="00C75EB7" w:rsidRDefault="00D41FC4" w:rsidP="00C75EB7">
                      <w:pPr>
                        <w:spacing w:line="360" w:lineRule="auto"/>
                        <w:jc w:val="both"/>
                        <w:rPr>
                          <w:rFonts w:ascii="Arial" w:hAnsi="Arial" w:cs="Arial"/>
                          <w:color w:val="FFFFFF" w:themeColor="background1"/>
                          <w:sz w:val="56"/>
                          <w:szCs w:val="56"/>
                        </w:rPr>
                      </w:pPr>
                    </w:p>
                    <w:p w14:paraId="7C7DF993" w14:textId="77777777" w:rsidR="00D41FC4" w:rsidRPr="00C75EB7" w:rsidRDefault="00D41FC4" w:rsidP="00C75EB7">
                      <w:pPr>
                        <w:spacing w:line="360" w:lineRule="auto"/>
                        <w:jc w:val="both"/>
                        <w:rPr>
                          <w:rFonts w:ascii="Arial" w:hAnsi="Arial" w:cs="Arial"/>
                          <w:color w:val="FFFFFF" w:themeColor="background1"/>
                          <w:sz w:val="56"/>
                          <w:szCs w:val="56"/>
                        </w:rPr>
                      </w:pPr>
                    </w:p>
                    <w:p w14:paraId="5431D416" w14:textId="0DC228BE" w:rsidR="00D41FC4" w:rsidRPr="00C75EB7" w:rsidRDefault="00D41FC4" w:rsidP="00C75EB7">
                      <w:pPr>
                        <w:pStyle w:val="NormalWeb"/>
                        <w:spacing w:before="780" w:beforeAutospacing="0" w:after="0" w:afterAutospacing="0"/>
                        <w:jc w:val="center"/>
                        <w:textAlignment w:val="baseline"/>
                        <w:rPr>
                          <w:color w:val="FFFFFF" w:themeColor="background1"/>
                          <w:sz w:val="56"/>
                          <w:szCs w:val="56"/>
                        </w:rPr>
                      </w:pPr>
                    </w:p>
                  </w:txbxContent>
                </v:textbox>
                <w10:wrap type="square"/>
              </v:shape>
            </w:pict>
          </mc:Fallback>
        </mc:AlternateContent>
      </w:r>
      <w:r w:rsidRPr="003E689E">
        <w:rPr>
          <w:rFonts w:ascii="Georgia" w:hAnsi="Georgia"/>
          <w:noProof/>
          <w:lang w:val="en-US"/>
        </w:rPr>
        <mc:AlternateContent>
          <mc:Choice Requires="wps">
            <w:drawing>
              <wp:anchor distT="0" distB="0" distL="114300" distR="114300" simplePos="0" relativeHeight="251662336" behindDoc="0" locked="0" layoutInCell="1" allowOverlap="1" wp14:anchorId="0D281C83" wp14:editId="04240EC1">
                <wp:simplePos x="0" y="0"/>
                <wp:positionH relativeFrom="column">
                  <wp:posOffset>-1143000</wp:posOffset>
                </wp:positionH>
                <wp:positionV relativeFrom="paragraph">
                  <wp:posOffset>7082155</wp:posOffset>
                </wp:positionV>
                <wp:extent cx="7597775" cy="1496695"/>
                <wp:effectExtent l="0" t="0" r="0" b="1905"/>
                <wp:wrapSquare wrapText="bothSides"/>
                <wp:docPr id="133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7775" cy="1496695"/>
                        </a:xfrm>
                        <a:prstGeom prst="rect">
                          <a:avLst/>
                        </a:prstGeom>
                        <a:noFill/>
                        <a:ln w="9525">
                          <a:noFill/>
                          <a:miter lim="800000"/>
                          <a:headEnd/>
                          <a:tailEnd/>
                        </a:ln>
                      </wps:spPr>
                      <wps:txbx>
                        <w:txbxContent>
                          <w:p w14:paraId="67B57055" w14:textId="77777777" w:rsidR="00D41FC4" w:rsidRDefault="00D41FC4" w:rsidP="007D69E4">
                            <w:pPr>
                              <w:pStyle w:val="NormalWeb"/>
                              <w:spacing w:before="252" w:beforeAutospacing="0" w:after="0" w:afterAutospacing="0"/>
                              <w:jc w:val="center"/>
                              <w:textAlignment w:val="baseline"/>
                              <w:rPr>
                                <w:rFonts w:ascii="Leelawadee" w:hAnsi="Leelawadee" w:cs="Arial"/>
                                <w:color w:val="000000" w:themeColor="text1"/>
                                <w:kern w:val="24"/>
                                <w:sz w:val="42"/>
                                <w:szCs w:val="42"/>
                                <w:lang w:val="es-ES"/>
                              </w:rPr>
                            </w:pPr>
                            <w:r>
                              <w:rPr>
                                <w:rFonts w:ascii="Leelawadee" w:hAnsi="Leelawadee" w:cs="Arial"/>
                                <w:color w:val="000000" w:themeColor="text1"/>
                                <w:kern w:val="24"/>
                                <w:sz w:val="42"/>
                                <w:szCs w:val="42"/>
                                <w:lang w:val="es-ES"/>
                              </w:rPr>
                              <w:t>Guadalupe de la Mata</w:t>
                            </w:r>
                          </w:p>
                          <w:p w14:paraId="1394783C" w14:textId="21796CC6" w:rsidR="00D41FC4" w:rsidRDefault="00D41FC4" w:rsidP="007D69E4">
                            <w:pPr>
                              <w:pStyle w:val="NormalWeb"/>
                              <w:spacing w:before="252" w:beforeAutospacing="0" w:after="0" w:afterAutospacing="0"/>
                              <w:jc w:val="center"/>
                              <w:textAlignment w:val="baseline"/>
                            </w:pPr>
                            <w:r>
                              <w:rPr>
                                <w:rFonts w:ascii="Leelawadee" w:hAnsi="Leelawadee" w:cs="Arial"/>
                                <w:color w:val="000000" w:themeColor="text1"/>
                                <w:kern w:val="24"/>
                                <w:sz w:val="42"/>
                                <w:szCs w:val="42"/>
                                <w:lang w:val="es-ES"/>
                              </w:rPr>
                              <w:t>www.innovationforsocialchange.org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89.95pt;margin-top:557.65pt;width:598.25pt;height:1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p7EeMBAACdAwAADgAAAGRycy9lMm9Eb2MueG1srFNNj9MwEL0j8R8s32nSLm23UdPVwrJclgVp&#10;lx8wdZzGwvYY223Sf8/YaUsFN0QOlj9m3rz3ZrK+G4xmB+mDQlvz6aTkTFqBjbK7mn9/fXx3y1mI&#10;YBvQaGXNjzLwu83bN+veVXKGHepGekYgNlS9q3kXo6uKIohOGggTdNLSY4veQKSj3xWNh57QjS5m&#10;ZbkoevSN8yhkCHT7MD7yTcZvWyni17YNMjJdc+IW8+rzuk1rsVlDtfPgOiVONOAfWBhQlopeoB4g&#10;Att79ReUUcJjwDZOBJoC21YJmTWQmmn5h5qXDpzMWsic4C42hf8HK54P3zxTDfXu5ma64MyCoTa9&#10;yiGyDziwZXKod6GiwBdHoXGga4rOaoN7QvEjMIsfO7A7ee899p2EhhhOU2ZxlTrihASy7b9gQ2Vg&#10;HzEDDa03yT4yhBE6dep46U6iIuhyOV8tl8s5Z4Lepu9Xi8VqnmtAdU53PsTPEg1Lm5p7an+Gh8NT&#10;iIkOVOeQVM3io9I6j4C2rK/5aj6b54SrF6MiTahWpua3ZfrGmUkqP9kmJ0dQetxTAW1PspPSUXMc&#10;tsPo8dnNLTZH8qGnwat5+LkHn/qcGN2TJa3KZJN3Y+AJkWYgazjNaxqy63OO+v1XbX4BAAD//wMA&#10;UEsDBBQABgAIAAAAIQAeFTQ24QAAAA8BAAAPAAAAZHJzL2Rvd25yZXYueG1sTI/BTsMwDIbvSLxD&#10;ZCRuWxJGO1qaTgjEFcRgSNyy1msrGqdqsrW8Pd4Jbrb+T78/F5vZ9eKEY+g8GdBLBQKp8nVHjYGP&#10;9+fFHYgQLdW294QGfjDApry8KGxe+4ne8LSNjeASCrk10MY45FKGqkVnw9IPSJwd/Ohs5HVsZD3a&#10;ictdL2+USqWzHfGF1g742GL1vT06A7uXw9fnrXptnlwyTH5Wklwmjbm+mh/uQUSc4x8MZ31Wh5Kd&#10;9v5IdRC9gYVeZxmznGidrECcGaXTFMSep1WiFciykP//KH8BAAD//wMAUEsBAi0AFAAGAAgAAAAh&#10;AOSZw8D7AAAA4QEAABMAAAAAAAAAAAAAAAAAAAAAAFtDb250ZW50X1R5cGVzXS54bWxQSwECLQAU&#10;AAYACAAAACEAI7Jq4dcAAACUAQAACwAAAAAAAAAAAAAAAAAsAQAAX3JlbHMvLnJlbHNQSwECLQAU&#10;AAYACAAAACEAHtp7EeMBAACdAwAADgAAAAAAAAAAAAAAAAAsAgAAZHJzL2Uyb0RvYy54bWxQSwEC&#10;LQAUAAYACAAAACEAHhU0NuEAAAAPAQAADwAAAAAAAAAAAAAAAAA7BAAAZHJzL2Rvd25yZXYueG1s&#10;UEsFBgAAAAAEAAQA8wAAAEkFAAAAAA==&#10;" filled="f" stroked="f">
                <v:textbox>
                  <w:txbxContent>
                    <w:p w14:paraId="67B57055" w14:textId="77777777" w:rsidR="00D41FC4" w:rsidRDefault="00D41FC4" w:rsidP="007D69E4">
                      <w:pPr>
                        <w:pStyle w:val="NormalWeb"/>
                        <w:spacing w:before="252" w:beforeAutospacing="0" w:after="0" w:afterAutospacing="0"/>
                        <w:jc w:val="center"/>
                        <w:textAlignment w:val="baseline"/>
                        <w:rPr>
                          <w:rFonts w:ascii="Leelawadee" w:hAnsi="Leelawadee" w:cs="Arial"/>
                          <w:color w:val="000000" w:themeColor="text1"/>
                          <w:kern w:val="24"/>
                          <w:sz w:val="42"/>
                          <w:szCs w:val="42"/>
                          <w:lang w:val="es-ES"/>
                        </w:rPr>
                      </w:pPr>
                      <w:r>
                        <w:rPr>
                          <w:rFonts w:ascii="Leelawadee" w:hAnsi="Leelawadee" w:cs="Arial"/>
                          <w:color w:val="000000" w:themeColor="text1"/>
                          <w:kern w:val="24"/>
                          <w:sz w:val="42"/>
                          <w:szCs w:val="42"/>
                          <w:lang w:val="es-ES"/>
                        </w:rPr>
                        <w:t>Guadalupe de la Mata</w:t>
                      </w:r>
                    </w:p>
                    <w:p w14:paraId="1394783C" w14:textId="21796CC6" w:rsidR="00D41FC4" w:rsidRDefault="00D41FC4" w:rsidP="007D69E4">
                      <w:pPr>
                        <w:pStyle w:val="NormalWeb"/>
                        <w:spacing w:before="252" w:beforeAutospacing="0" w:after="0" w:afterAutospacing="0"/>
                        <w:jc w:val="center"/>
                        <w:textAlignment w:val="baseline"/>
                      </w:pPr>
                      <w:r>
                        <w:rPr>
                          <w:rFonts w:ascii="Leelawadee" w:hAnsi="Leelawadee" w:cs="Arial"/>
                          <w:color w:val="000000" w:themeColor="text1"/>
                          <w:kern w:val="24"/>
                          <w:sz w:val="42"/>
                          <w:szCs w:val="42"/>
                          <w:lang w:val="es-ES"/>
                        </w:rPr>
                        <w:t>www.innovationforsocialchange.org</w:t>
                      </w:r>
                    </w:p>
                  </w:txbxContent>
                </v:textbox>
                <w10:wrap type="square"/>
              </v:shape>
            </w:pict>
          </mc:Fallback>
        </mc:AlternateContent>
      </w:r>
      <w:r w:rsidR="00B70620" w:rsidRPr="003E689E">
        <w:rPr>
          <w:rFonts w:ascii="Georgia" w:hAnsi="Georgia"/>
          <w:noProof/>
          <w:lang w:val="en-US"/>
        </w:rPr>
        <mc:AlternateContent>
          <mc:Choice Requires="wps">
            <w:drawing>
              <wp:anchor distT="0" distB="0" distL="114300" distR="114300" simplePos="0" relativeHeight="251659264" behindDoc="0" locked="0" layoutInCell="1" allowOverlap="1" wp14:anchorId="11565B54" wp14:editId="3E09EB9A">
                <wp:simplePos x="0" y="0"/>
                <wp:positionH relativeFrom="column">
                  <wp:posOffset>-1028700</wp:posOffset>
                </wp:positionH>
                <wp:positionV relativeFrom="paragraph">
                  <wp:posOffset>-1261745</wp:posOffset>
                </wp:positionV>
                <wp:extent cx="7543800" cy="10758805"/>
                <wp:effectExtent l="0" t="0" r="25400" b="36195"/>
                <wp:wrapThrough wrapText="bothSides">
                  <wp:wrapPolygon edited="0">
                    <wp:start x="0" y="0"/>
                    <wp:lineTo x="0" y="21622"/>
                    <wp:lineTo x="21600" y="21622"/>
                    <wp:lineTo x="21600" y="0"/>
                    <wp:lineTo x="0" y="0"/>
                  </wp:wrapPolygon>
                </wp:wrapThrough>
                <wp:docPr id="133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758805"/>
                        </a:xfrm>
                        <a:prstGeom prst="rect">
                          <a:avLst/>
                        </a:prstGeom>
                        <a:solidFill>
                          <a:srgbClr val="800000"/>
                        </a:solidFill>
                        <a:ln>
                          <a:headEnd/>
                          <a:tailEnd/>
                        </a:ln>
                      </wps:spPr>
                      <wps:style>
                        <a:lnRef idx="2">
                          <a:schemeClr val="accent2">
                            <a:shade val="50000"/>
                          </a:schemeClr>
                        </a:lnRef>
                        <a:fillRef idx="1">
                          <a:schemeClr val="accent2"/>
                        </a:fillRef>
                        <a:effectRef idx="0">
                          <a:schemeClr val="accent2"/>
                        </a:effectRef>
                        <a:fontRef idx="minor">
                          <a:schemeClr val="lt1"/>
                        </a:fontRef>
                      </wps:style>
                      <wps:bodyPr wrap="none"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0.95pt;margin-top:-99.3pt;width:594pt;height:847.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kv1ikCAACYBAAADgAAAGRycy9lMm9Eb2MueG1srFTLbtswELwX6D8QvNeS7LgxhMhBkTS9pG2Q&#10;tB9AkyuLKMUlSMay/75LylbcB1qgqA6EKO7Ozgx3dXW97w3bgQ8abcOrWckZWIlK223Dv365e7Pi&#10;LERhlTBooeEHCPx6/frV1eBqmGOHRoFnBGJDPbiGdzG6uiiC7KAXYYYOLB226HsRaeu3hfJiIPTe&#10;FPOyfFsM6JXzKCEE+no7HvJ1xm9bkPFz2waIzDScuMW8+rxu0lqsr0S99cJ1Wh5piH9g0QttqegE&#10;dSuiYM9e/wLVa+kxYBtnEvsC21ZLyBpITVX+pOapEw6yFjInuMmm8P9g5afdg2da0d0tFtWCMyt6&#10;uqZHMk7YrQF2kSwaXKgp8sk9+CQyuHuU3wKzeNNRFLzzHocOhCJiVYovfkhIm0CpbDN8REXo4jli&#10;dmvf+j4Bkg9sny/lMF0K7COT9PFyebFYlXR3ks6q8nK5WpXLXETUp3znQ/wA2LP00nBP7DO+2N2H&#10;mPiI+hSS+aPR6k4bkzd+u7kxnu0EtQgVoueIHs7DjE3BSeR7q3LXRKHN+E7w6TirTkJHw0I8GEhJ&#10;xj5CSx6TmHmmlbsbpqJCSrDxeNQJBSOX5TmVNA8pI2vJgAm5JQ0TdvUn7NGEY3xKhTwcU3L59+Qp&#10;I1dGG6fkXlv0vwMwcWwHYjrGn0warUmNsUF1oNYYaAQbbukfwZmwskOaURn91EzU/ln6cVTTfJ3v&#10;M+7LD2X9HQAA//8DAFBLAwQUAAYACAAAACEAdXOrfOUAAAAPAQAADwAAAGRycy9kb3ducmV2Lnht&#10;bEyPwWqDQBCG74W8wzKBXkqyGhoTrWsIKSWHQqFp6Hl1J2rqzoq7Udun73pqb/8wH/98k+5G3bAe&#10;O1sbEhAuA2BIhVE1lQLOHy+LLTDrJCnZGEIB32hhl83uUpkoM9A79idXMl9CNpECKufahHNbVKil&#10;XZoWye8uptPS+bEruerk4Mt1w1dBEHEta/IXKtniocLi63TTAuLn/ef5+JO/rvF6PQyb9nJ8eOuF&#10;uJ+P+ydgDkf3B8Ok79Uh8065uZGyrBGwCKMw9uyU4m0EbGKCVRQCy316jNcb4FnK//+R/QIAAP//&#10;AwBQSwECLQAUAAYACAAAACEA5JnDwPsAAADhAQAAEwAAAAAAAAAAAAAAAAAAAAAAW0NvbnRlbnRf&#10;VHlwZXNdLnhtbFBLAQItABQABgAIAAAAIQAjsmrh1wAAAJQBAAALAAAAAAAAAAAAAAAAACwBAABf&#10;cmVscy8ucmVsc1BLAQItABQABgAIAAAAIQDQmS/WKQIAAJgEAAAOAAAAAAAAAAAAAAAAACwCAABk&#10;cnMvZTJvRG9jLnhtbFBLAQItABQABgAIAAAAIQB1c6t85QAAAA8BAAAPAAAAAAAAAAAAAAAAAIEE&#10;AABkcnMvZG93bnJldi54bWxQSwUGAAAAAAQABADzAAAAkwUAAAAA&#10;" fillcolor="maroon" strokecolor="#622423 [1605]" strokeweight="2pt">
                <w10:wrap type="through"/>
              </v:rect>
            </w:pict>
          </mc:Fallback>
        </mc:AlternateContent>
      </w:r>
      <w:r w:rsidR="00D8682C" w:rsidRPr="003E689E">
        <w:rPr>
          <w:rFonts w:ascii="Georgia" w:hAnsi="Georgia"/>
          <w:lang w:val="es-ES_tradnl"/>
        </w:rPr>
        <w:br w:type="page"/>
      </w:r>
    </w:p>
    <w:p w14:paraId="36627917" w14:textId="4E5134AC" w:rsidR="00B70620" w:rsidRPr="003E689E" w:rsidRDefault="00D8682C" w:rsidP="00EF2C5E">
      <w:pPr>
        <w:pStyle w:val="TOCHeading"/>
        <w:spacing w:line="360" w:lineRule="auto"/>
        <w:jc w:val="both"/>
        <w:rPr>
          <w:rFonts w:ascii="Georgia" w:hAnsi="Georgia"/>
          <w:lang w:val="es-ES_tradnl"/>
        </w:rPr>
      </w:pPr>
      <w:r w:rsidRPr="003E689E">
        <w:rPr>
          <w:rFonts w:ascii="Georgia" w:hAnsi="Georgia"/>
          <w:lang w:val="es-ES_tradnl"/>
        </w:rPr>
        <w:lastRenderedPageBreak/>
        <w:t>Tabla de contenido</w:t>
      </w:r>
      <w:bookmarkEnd w:id="0"/>
    </w:p>
    <w:p w14:paraId="435B425C" w14:textId="77777777" w:rsidR="00047E88" w:rsidRDefault="00047E88">
      <w:pPr>
        <w:pStyle w:val="TOC1"/>
        <w:tabs>
          <w:tab w:val="right" w:leader="dot" w:pos="8488"/>
        </w:tabs>
        <w:rPr>
          <w:rFonts w:asciiTheme="minorHAnsi" w:eastAsiaTheme="minorEastAsia" w:hAnsiTheme="minorHAnsi" w:cstheme="minorBidi"/>
          <w:b w:val="0"/>
          <w:noProof/>
          <w:color w:val="auto"/>
          <w:lang w:eastAsia="ja-JP"/>
        </w:rPr>
      </w:pPr>
      <w:r>
        <w:rPr>
          <w:rFonts w:ascii="Georgia" w:eastAsiaTheme="majorEastAsia" w:hAnsi="Georgia" w:cs="Arial"/>
          <w:b w:val="0"/>
          <w:bCs/>
          <w:i/>
          <w:caps/>
          <w:color w:val="000000"/>
          <w:sz w:val="28"/>
          <w:szCs w:val="28"/>
        </w:rPr>
        <w:fldChar w:fldCharType="begin"/>
      </w:r>
      <w:r>
        <w:rPr>
          <w:rFonts w:ascii="Georgia" w:eastAsiaTheme="majorEastAsia" w:hAnsi="Georgia" w:cs="Arial"/>
          <w:b w:val="0"/>
          <w:bCs/>
          <w:i/>
          <w:caps/>
          <w:color w:val="000000"/>
          <w:sz w:val="28"/>
          <w:szCs w:val="28"/>
        </w:rPr>
        <w:instrText xml:space="preserve"> TOC \o "1-5" </w:instrText>
      </w:r>
      <w:r>
        <w:rPr>
          <w:rFonts w:ascii="Georgia" w:eastAsiaTheme="majorEastAsia" w:hAnsi="Georgia" w:cs="Arial"/>
          <w:b w:val="0"/>
          <w:bCs/>
          <w:i/>
          <w:caps/>
          <w:color w:val="000000"/>
          <w:sz w:val="28"/>
          <w:szCs w:val="28"/>
        </w:rPr>
        <w:fldChar w:fldCharType="separate"/>
      </w:r>
      <w:r w:rsidRPr="00BD040C">
        <w:rPr>
          <w:rFonts w:ascii="Georgia" w:hAnsi="Georgia"/>
          <w:noProof/>
        </w:rPr>
        <w:t>Introducción: un nuevo rol de las empresas ante los retos sociales y de desarrollo</w:t>
      </w:r>
      <w:r>
        <w:rPr>
          <w:noProof/>
        </w:rPr>
        <w:tab/>
      </w:r>
      <w:r>
        <w:rPr>
          <w:noProof/>
        </w:rPr>
        <w:fldChar w:fldCharType="begin"/>
      </w:r>
      <w:r>
        <w:rPr>
          <w:noProof/>
        </w:rPr>
        <w:instrText xml:space="preserve"> PAGEREF _Toc291670196 \h </w:instrText>
      </w:r>
      <w:r>
        <w:rPr>
          <w:noProof/>
        </w:rPr>
      </w:r>
      <w:r>
        <w:rPr>
          <w:noProof/>
        </w:rPr>
        <w:fldChar w:fldCharType="separate"/>
      </w:r>
      <w:r w:rsidR="00807482">
        <w:rPr>
          <w:noProof/>
        </w:rPr>
        <w:t>4</w:t>
      </w:r>
      <w:r>
        <w:rPr>
          <w:noProof/>
        </w:rPr>
        <w:fldChar w:fldCharType="end"/>
      </w:r>
    </w:p>
    <w:p w14:paraId="1F0D959F"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lang w:val="en-US"/>
        </w:rPr>
        <w:t>Los desafíos globales y el sector privado</w:t>
      </w:r>
      <w:r>
        <w:rPr>
          <w:noProof/>
        </w:rPr>
        <w:tab/>
      </w:r>
      <w:r>
        <w:rPr>
          <w:noProof/>
        </w:rPr>
        <w:fldChar w:fldCharType="begin"/>
      </w:r>
      <w:r>
        <w:rPr>
          <w:noProof/>
        </w:rPr>
        <w:instrText xml:space="preserve"> PAGEREF _Toc291670197 \h </w:instrText>
      </w:r>
      <w:r>
        <w:rPr>
          <w:noProof/>
        </w:rPr>
      </w:r>
      <w:r>
        <w:rPr>
          <w:noProof/>
        </w:rPr>
        <w:fldChar w:fldCharType="separate"/>
      </w:r>
      <w:r w:rsidR="00807482">
        <w:rPr>
          <w:noProof/>
        </w:rPr>
        <w:t>4</w:t>
      </w:r>
      <w:r>
        <w:rPr>
          <w:noProof/>
        </w:rPr>
        <w:fldChar w:fldCharType="end"/>
      </w:r>
    </w:p>
    <w:p w14:paraId="6731B233"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 xml:space="preserve">¿A quiénes </w:t>
      </w:r>
      <w:r w:rsidRPr="00BD040C">
        <w:rPr>
          <w:rFonts w:ascii="Georgia" w:hAnsi="Georgia" w:cs="Leelawadee"/>
          <w:noProof/>
        </w:rPr>
        <w:t>pretenden</w:t>
      </w:r>
      <w:r w:rsidRPr="00BD040C">
        <w:rPr>
          <w:rFonts w:ascii="Georgia" w:hAnsi="Georgia"/>
          <w:noProof/>
        </w:rPr>
        <w:t xml:space="preserve"> incluir los Negocios Inclusivos?. El concepto de la Base de la Pirámide.</w:t>
      </w:r>
      <w:r>
        <w:rPr>
          <w:noProof/>
        </w:rPr>
        <w:tab/>
      </w:r>
      <w:r>
        <w:rPr>
          <w:noProof/>
        </w:rPr>
        <w:fldChar w:fldCharType="begin"/>
      </w:r>
      <w:r>
        <w:rPr>
          <w:noProof/>
        </w:rPr>
        <w:instrText xml:space="preserve"> PAGEREF _Toc291670198 \h </w:instrText>
      </w:r>
      <w:r>
        <w:rPr>
          <w:noProof/>
        </w:rPr>
      </w:r>
      <w:r>
        <w:rPr>
          <w:noProof/>
        </w:rPr>
        <w:fldChar w:fldCharType="separate"/>
      </w:r>
      <w:r w:rsidR="00807482">
        <w:rPr>
          <w:noProof/>
        </w:rPr>
        <w:t>6</w:t>
      </w:r>
      <w:r>
        <w:rPr>
          <w:noProof/>
        </w:rPr>
        <w:fldChar w:fldCharType="end"/>
      </w:r>
    </w:p>
    <w:p w14:paraId="788E4CA1" w14:textId="77777777" w:rsidR="00047E88" w:rsidRDefault="00047E88">
      <w:pPr>
        <w:pStyle w:val="TOC1"/>
        <w:tabs>
          <w:tab w:val="right" w:leader="dot" w:pos="8488"/>
        </w:tabs>
        <w:rPr>
          <w:rFonts w:asciiTheme="minorHAnsi" w:eastAsiaTheme="minorEastAsia" w:hAnsiTheme="minorHAnsi" w:cstheme="minorBidi"/>
          <w:b w:val="0"/>
          <w:noProof/>
          <w:color w:val="auto"/>
          <w:lang w:eastAsia="ja-JP"/>
        </w:rPr>
      </w:pPr>
      <w:r w:rsidRPr="00BD040C">
        <w:rPr>
          <w:rFonts w:ascii="Georgia" w:hAnsi="Georgia"/>
          <w:noProof/>
        </w:rPr>
        <w:t>Los beneficios de los negocios inclusivos para las empresas y para la Base de la Pirámide</w:t>
      </w:r>
      <w:r>
        <w:rPr>
          <w:noProof/>
        </w:rPr>
        <w:tab/>
      </w:r>
      <w:r>
        <w:rPr>
          <w:noProof/>
        </w:rPr>
        <w:fldChar w:fldCharType="begin"/>
      </w:r>
      <w:r>
        <w:rPr>
          <w:noProof/>
        </w:rPr>
        <w:instrText xml:space="preserve"> PAGEREF _Toc291670199 \h </w:instrText>
      </w:r>
      <w:r>
        <w:rPr>
          <w:noProof/>
        </w:rPr>
      </w:r>
      <w:r>
        <w:rPr>
          <w:noProof/>
        </w:rPr>
        <w:fldChar w:fldCharType="separate"/>
      </w:r>
      <w:r w:rsidR="00807482">
        <w:rPr>
          <w:noProof/>
        </w:rPr>
        <w:t>10</w:t>
      </w:r>
      <w:r>
        <w:rPr>
          <w:noProof/>
        </w:rPr>
        <w:fldChar w:fldCharType="end"/>
      </w:r>
    </w:p>
    <w:p w14:paraId="061EB13B"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Los beneficios para las empresas</w:t>
      </w:r>
      <w:r>
        <w:rPr>
          <w:noProof/>
        </w:rPr>
        <w:tab/>
      </w:r>
      <w:r>
        <w:rPr>
          <w:noProof/>
        </w:rPr>
        <w:fldChar w:fldCharType="begin"/>
      </w:r>
      <w:r>
        <w:rPr>
          <w:noProof/>
        </w:rPr>
        <w:instrText xml:space="preserve"> PAGEREF _Toc291670200 \h </w:instrText>
      </w:r>
      <w:r>
        <w:rPr>
          <w:noProof/>
        </w:rPr>
      </w:r>
      <w:r>
        <w:rPr>
          <w:noProof/>
        </w:rPr>
        <w:fldChar w:fldCharType="separate"/>
      </w:r>
      <w:r w:rsidR="00807482">
        <w:rPr>
          <w:noProof/>
        </w:rPr>
        <w:t>10</w:t>
      </w:r>
      <w:r>
        <w:rPr>
          <w:noProof/>
        </w:rPr>
        <w:fldChar w:fldCharType="end"/>
      </w:r>
    </w:p>
    <w:p w14:paraId="6281D7E8" w14:textId="77777777" w:rsidR="00047E88" w:rsidRDefault="00047E88">
      <w:pPr>
        <w:pStyle w:val="TOC3"/>
        <w:tabs>
          <w:tab w:val="right" w:leader="dot" w:pos="8488"/>
        </w:tabs>
        <w:rPr>
          <w:rFonts w:eastAsiaTheme="minorEastAsia" w:cstheme="minorBidi"/>
          <w:i w:val="0"/>
          <w:noProof/>
          <w:sz w:val="24"/>
          <w:szCs w:val="24"/>
          <w:lang w:eastAsia="ja-JP"/>
        </w:rPr>
      </w:pPr>
      <w:r w:rsidRPr="00BD040C">
        <w:rPr>
          <w:rFonts w:ascii="Georgia" w:hAnsi="Georgia"/>
          <w:noProof/>
        </w:rPr>
        <w:t>Beneficios de incluir a los pobres en la cadena de valor empresarial como consumidores</w:t>
      </w:r>
      <w:r>
        <w:rPr>
          <w:noProof/>
        </w:rPr>
        <w:tab/>
      </w:r>
      <w:r>
        <w:rPr>
          <w:noProof/>
        </w:rPr>
        <w:fldChar w:fldCharType="begin"/>
      </w:r>
      <w:r>
        <w:rPr>
          <w:noProof/>
        </w:rPr>
        <w:instrText xml:space="preserve"> PAGEREF _Toc291670201 \h </w:instrText>
      </w:r>
      <w:r>
        <w:rPr>
          <w:noProof/>
        </w:rPr>
      </w:r>
      <w:r>
        <w:rPr>
          <w:noProof/>
        </w:rPr>
        <w:fldChar w:fldCharType="separate"/>
      </w:r>
      <w:r w:rsidR="00807482">
        <w:rPr>
          <w:noProof/>
        </w:rPr>
        <w:t>10</w:t>
      </w:r>
      <w:r>
        <w:rPr>
          <w:noProof/>
        </w:rPr>
        <w:fldChar w:fldCharType="end"/>
      </w:r>
    </w:p>
    <w:p w14:paraId="2A44D751" w14:textId="77777777" w:rsidR="00047E88" w:rsidRDefault="00047E88">
      <w:pPr>
        <w:pStyle w:val="TOC3"/>
        <w:tabs>
          <w:tab w:val="right" w:leader="dot" w:pos="8488"/>
        </w:tabs>
        <w:rPr>
          <w:rFonts w:eastAsiaTheme="minorEastAsia" w:cstheme="minorBidi"/>
          <w:i w:val="0"/>
          <w:noProof/>
          <w:sz w:val="24"/>
          <w:szCs w:val="24"/>
          <w:lang w:eastAsia="ja-JP"/>
        </w:rPr>
      </w:pPr>
      <w:r>
        <w:rPr>
          <w:noProof/>
        </w:rPr>
        <w:t>Beneficios de incluir a los pobres en la cadena de valor como proveedores, vendedores o distribuidores</w:t>
      </w:r>
      <w:r>
        <w:rPr>
          <w:noProof/>
        </w:rPr>
        <w:tab/>
      </w:r>
      <w:r>
        <w:rPr>
          <w:noProof/>
        </w:rPr>
        <w:fldChar w:fldCharType="begin"/>
      </w:r>
      <w:r>
        <w:rPr>
          <w:noProof/>
        </w:rPr>
        <w:instrText xml:space="preserve"> PAGEREF _Toc291670202 \h </w:instrText>
      </w:r>
      <w:r>
        <w:rPr>
          <w:noProof/>
        </w:rPr>
      </w:r>
      <w:r>
        <w:rPr>
          <w:noProof/>
        </w:rPr>
        <w:fldChar w:fldCharType="separate"/>
      </w:r>
      <w:r w:rsidR="00807482">
        <w:rPr>
          <w:noProof/>
        </w:rPr>
        <w:t>11</w:t>
      </w:r>
      <w:r>
        <w:rPr>
          <w:noProof/>
        </w:rPr>
        <w:fldChar w:fldCharType="end"/>
      </w:r>
    </w:p>
    <w:p w14:paraId="2E0517D1"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Los beneficios para la Base de la Pirámide</w:t>
      </w:r>
      <w:r>
        <w:rPr>
          <w:noProof/>
        </w:rPr>
        <w:tab/>
      </w:r>
      <w:r>
        <w:rPr>
          <w:noProof/>
        </w:rPr>
        <w:fldChar w:fldCharType="begin"/>
      </w:r>
      <w:r>
        <w:rPr>
          <w:noProof/>
        </w:rPr>
        <w:instrText xml:space="preserve"> PAGEREF _Toc291670203 \h </w:instrText>
      </w:r>
      <w:r>
        <w:rPr>
          <w:noProof/>
        </w:rPr>
      </w:r>
      <w:r>
        <w:rPr>
          <w:noProof/>
        </w:rPr>
        <w:fldChar w:fldCharType="separate"/>
      </w:r>
      <w:r w:rsidR="00807482">
        <w:rPr>
          <w:noProof/>
        </w:rPr>
        <w:t>12</w:t>
      </w:r>
      <w:r>
        <w:rPr>
          <w:noProof/>
        </w:rPr>
        <w:fldChar w:fldCharType="end"/>
      </w:r>
    </w:p>
    <w:p w14:paraId="146F7B27" w14:textId="77777777" w:rsidR="00047E88" w:rsidRDefault="00047E88">
      <w:pPr>
        <w:pStyle w:val="TOC1"/>
        <w:tabs>
          <w:tab w:val="right" w:leader="dot" w:pos="8488"/>
        </w:tabs>
        <w:rPr>
          <w:rFonts w:asciiTheme="minorHAnsi" w:eastAsiaTheme="minorEastAsia" w:hAnsiTheme="minorHAnsi" w:cstheme="minorBidi"/>
          <w:b w:val="0"/>
          <w:noProof/>
          <w:color w:val="auto"/>
          <w:lang w:eastAsia="ja-JP"/>
        </w:rPr>
      </w:pPr>
      <w:r w:rsidRPr="00BD040C">
        <w:rPr>
          <w:rFonts w:ascii="Georgia" w:hAnsi="Georgia"/>
          <w:noProof/>
        </w:rPr>
        <w:t>Algunos retos a los que se enfrentan las empresas para diseñar estrategias de negocios inclusivos y algunas propuestas para superarlos</w:t>
      </w:r>
      <w:r>
        <w:rPr>
          <w:noProof/>
        </w:rPr>
        <w:tab/>
      </w:r>
      <w:r>
        <w:rPr>
          <w:noProof/>
        </w:rPr>
        <w:fldChar w:fldCharType="begin"/>
      </w:r>
      <w:r>
        <w:rPr>
          <w:noProof/>
        </w:rPr>
        <w:instrText xml:space="preserve"> PAGEREF _Toc291670204 \h </w:instrText>
      </w:r>
      <w:r>
        <w:rPr>
          <w:noProof/>
        </w:rPr>
      </w:r>
      <w:r>
        <w:rPr>
          <w:noProof/>
        </w:rPr>
        <w:fldChar w:fldCharType="separate"/>
      </w:r>
      <w:r w:rsidR="00807482">
        <w:rPr>
          <w:noProof/>
        </w:rPr>
        <w:t>15</w:t>
      </w:r>
      <w:r>
        <w:rPr>
          <w:noProof/>
        </w:rPr>
        <w:fldChar w:fldCharType="end"/>
      </w:r>
    </w:p>
    <w:p w14:paraId="13D452EC"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Desconocimiento del sector</w:t>
      </w:r>
      <w:r>
        <w:rPr>
          <w:noProof/>
        </w:rPr>
        <w:tab/>
      </w:r>
      <w:r>
        <w:rPr>
          <w:noProof/>
        </w:rPr>
        <w:fldChar w:fldCharType="begin"/>
      </w:r>
      <w:r>
        <w:rPr>
          <w:noProof/>
        </w:rPr>
        <w:instrText xml:space="preserve"> PAGEREF _Toc291670205 \h </w:instrText>
      </w:r>
      <w:r>
        <w:rPr>
          <w:noProof/>
        </w:rPr>
      </w:r>
      <w:r>
        <w:rPr>
          <w:noProof/>
        </w:rPr>
        <w:fldChar w:fldCharType="separate"/>
      </w:r>
      <w:r w:rsidR="00807482">
        <w:rPr>
          <w:noProof/>
        </w:rPr>
        <w:t>15</w:t>
      </w:r>
      <w:r>
        <w:rPr>
          <w:noProof/>
        </w:rPr>
        <w:fldChar w:fldCharType="end"/>
      </w:r>
    </w:p>
    <w:p w14:paraId="537DF3B6"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Marco regulatorio</w:t>
      </w:r>
      <w:r>
        <w:rPr>
          <w:noProof/>
        </w:rPr>
        <w:tab/>
      </w:r>
      <w:r>
        <w:rPr>
          <w:noProof/>
        </w:rPr>
        <w:fldChar w:fldCharType="begin"/>
      </w:r>
      <w:r>
        <w:rPr>
          <w:noProof/>
        </w:rPr>
        <w:instrText xml:space="preserve"> PAGEREF _Toc291670206 \h </w:instrText>
      </w:r>
      <w:r>
        <w:rPr>
          <w:noProof/>
        </w:rPr>
      </w:r>
      <w:r>
        <w:rPr>
          <w:noProof/>
        </w:rPr>
        <w:fldChar w:fldCharType="separate"/>
      </w:r>
      <w:r w:rsidR="00807482">
        <w:rPr>
          <w:noProof/>
        </w:rPr>
        <w:t>16</w:t>
      </w:r>
      <w:r>
        <w:rPr>
          <w:noProof/>
        </w:rPr>
        <w:fldChar w:fldCharType="end"/>
      </w:r>
    </w:p>
    <w:p w14:paraId="21FB6E00"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Falta de infraestructura</w:t>
      </w:r>
      <w:r>
        <w:rPr>
          <w:noProof/>
        </w:rPr>
        <w:tab/>
      </w:r>
      <w:r>
        <w:rPr>
          <w:noProof/>
        </w:rPr>
        <w:fldChar w:fldCharType="begin"/>
      </w:r>
      <w:r>
        <w:rPr>
          <w:noProof/>
        </w:rPr>
        <w:instrText xml:space="preserve"> PAGEREF _Toc291670207 \h </w:instrText>
      </w:r>
      <w:r>
        <w:rPr>
          <w:noProof/>
        </w:rPr>
      </w:r>
      <w:r>
        <w:rPr>
          <w:noProof/>
        </w:rPr>
        <w:fldChar w:fldCharType="separate"/>
      </w:r>
      <w:r w:rsidR="00807482">
        <w:rPr>
          <w:noProof/>
        </w:rPr>
        <w:t>16</w:t>
      </w:r>
      <w:r>
        <w:rPr>
          <w:noProof/>
        </w:rPr>
        <w:fldChar w:fldCharType="end"/>
      </w:r>
    </w:p>
    <w:p w14:paraId="45B7CA85"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Falta de formación de los pobres</w:t>
      </w:r>
      <w:r>
        <w:rPr>
          <w:noProof/>
        </w:rPr>
        <w:tab/>
      </w:r>
      <w:r>
        <w:rPr>
          <w:noProof/>
        </w:rPr>
        <w:fldChar w:fldCharType="begin"/>
      </w:r>
      <w:r>
        <w:rPr>
          <w:noProof/>
        </w:rPr>
        <w:instrText xml:space="preserve"> PAGEREF _Toc291670208 \h </w:instrText>
      </w:r>
      <w:r>
        <w:rPr>
          <w:noProof/>
        </w:rPr>
      </w:r>
      <w:r>
        <w:rPr>
          <w:noProof/>
        </w:rPr>
        <w:fldChar w:fldCharType="separate"/>
      </w:r>
      <w:r w:rsidR="00807482">
        <w:rPr>
          <w:noProof/>
        </w:rPr>
        <w:t>17</w:t>
      </w:r>
      <w:r>
        <w:rPr>
          <w:noProof/>
        </w:rPr>
        <w:fldChar w:fldCharType="end"/>
      </w:r>
    </w:p>
    <w:p w14:paraId="36E125F6"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Acceso a servicios financieros</w:t>
      </w:r>
      <w:r>
        <w:rPr>
          <w:noProof/>
        </w:rPr>
        <w:tab/>
      </w:r>
      <w:r>
        <w:rPr>
          <w:noProof/>
        </w:rPr>
        <w:fldChar w:fldCharType="begin"/>
      </w:r>
      <w:r>
        <w:rPr>
          <w:noProof/>
        </w:rPr>
        <w:instrText xml:space="preserve"> PAGEREF _Toc291670209 \h </w:instrText>
      </w:r>
      <w:r>
        <w:rPr>
          <w:noProof/>
        </w:rPr>
      </w:r>
      <w:r>
        <w:rPr>
          <w:noProof/>
        </w:rPr>
        <w:fldChar w:fldCharType="separate"/>
      </w:r>
      <w:r w:rsidR="00807482">
        <w:rPr>
          <w:noProof/>
        </w:rPr>
        <w:t>18</w:t>
      </w:r>
      <w:r>
        <w:rPr>
          <w:noProof/>
        </w:rPr>
        <w:fldChar w:fldCharType="end"/>
      </w:r>
    </w:p>
    <w:p w14:paraId="767A1971" w14:textId="77777777" w:rsidR="00047E88" w:rsidRDefault="00047E88">
      <w:pPr>
        <w:pStyle w:val="TOC1"/>
        <w:tabs>
          <w:tab w:val="right" w:leader="dot" w:pos="8488"/>
        </w:tabs>
        <w:rPr>
          <w:rFonts w:asciiTheme="minorHAnsi" w:eastAsiaTheme="minorEastAsia" w:hAnsiTheme="minorHAnsi" w:cstheme="minorBidi"/>
          <w:b w:val="0"/>
          <w:noProof/>
          <w:color w:val="auto"/>
          <w:lang w:eastAsia="ja-JP"/>
        </w:rPr>
      </w:pPr>
      <w:r w:rsidRPr="00BD040C">
        <w:rPr>
          <w:rFonts w:ascii="Georgia" w:hAnsi="Georgia"/>
          <w:noProof/>
        </w:rPr>
        <w:t>Tres casos de negocios inclusivos y cómo han resuelto los retos</w:t>
      </w:r>
      <w:r>
        <w:rPr>
          <w:noProof/>
        </w:rPr>
        <w:tab/>
      </w:r>
      <w:r>
        <w:rPr>
          <w:noProof/>
        </w:rPr>
        <w:fldChar w:fldCharType="begin"/>
      </w:r>
      <w:r>
        <w:rPr>
          <w:noProof/>
        </w:rPr>
        <w:instrText xml:space="preserve"> PAGEREF _Toc291670210 \h </w:instrText>
      </w:r>
      <w:r>
        <w:rPr>
          <w:noProof/>
        </w:rPr>
      </w:r>
      <w:r>
        <w:rPr>
          <w:noProof/>
        </w:rPr>
        <w:fldChar w:fldCharType="separate"/>
      </w:r>
      <w:r w:rsidR="00807482">
        <w:rPr>
          <w:noProof/>
        </w:rPr>
        <w:t>21</w:t>
      </w:r>
      <w:r>
        <w:rPr>
          <w:noProof/>
        </w:rPr>
        <w:fldChar w:fldCharType="end"/>
      </w:r>
    </w:p>
    <w:p w14:paraId="452F0467"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CASO 1. DISEÑANDO PRODUCTOS DE SEGUROS PARA LA BASE DE LA PIRÁMIDE: ALLIANZ</w:t>
      </w:r>
      <w:r>
        <w:rPr>
          <w:noProof/>
        </w:rPr>
        <w:tab/>
      </w:r>
      <w:r>
        <w:rPr>
          <w:noProof/>
        </w:rPr>
        <w:fldChar w:fldCharType="begin"/>
      </w:r>
      <w:r>
        <w:rPr>
          <w:noProof/>
        </w:rPr>
        <w:instrText xml:space="preserve"> PAGEREF _Toc291670211 \h </w:instrText>
      </w:r>
      <w:r>
        <w:rPr>
          <w:noProof/>
        </w:rPr>
      </w:r>
      <w:r>
        <w:rPr>
          <w:noProof/>
        </w:rPr>
        <w:fldChar w:fldCharType="separate"/>
      </w:r>
      <w:r w:rsidR="00807482">
        <w:rPr>
          <w:noProof/>
        </w:rPr>
        <w:t>22</w:t>
      </w:r>
      <w:r>
        <w:rPr>
          <w:noProof/>
        </w:rPr>
        <w:fldChar w:fldCharType="end"/>
      </w:r>
    </w:p>
    <w:p w14:paraId="37C8C31A"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CASO 2. INCLUYENDO A  COMUNIDADES TRADICIONALES DEL AMAZONAS COMO PROVEEDORES DE MATERIAS PRIMAS: NATURA</w:t>
      </w:r>
      <w:r>
        <w:rPr>
          <w:noProof/>
        </w:rPr>
        <w:tab/>
      </w:r>
      <w:r>
        <w:rPr>
          <w:noProof/>
        </w:rPr>
        <w:fldChar w:fldCharType="begin"/>
      </w:r>
      <w:r>
        <w:rPr>
          <w:noProof/>
        </w:rPr>
        <w:instrText xml:space="preserve"> PAGEREF _Toc291670212 \h </w:instrText>
      </w:r>
      <w:r>
        <w:rPr>
          <w:noProof/>
        </w:rPr>
      </w:r>
      <w:r>
        <w:rPr>
          <w:noProof/>
        </w:rPr>
        <w:fldChar w:fldCharType="separate"/>
      </w:r>
      <w:r w:rsidR="00807482">
        <w:rPr>
          <w:noProof/>
        </w:rPr>
        <w:t>27</w:t>
      </w:r>
      <w:r>
        <w:rPr>
          <w:noProof/>
        </w:rPr>
        <w:fldChar w:fldCharType="end"/>
      </w:r>
    </w:p>
    <w:p w14:paraId="2BF19490" w14:textId="77777777" w:rsidR="00047E88" w:rsidRDefault="00047E88">
      <w:pPr>
        <w:pStyle w:val="TOC2"/>
        <w:tabs>
          <w:tab w:val="right" w:leader="dot" w:pos="8488"/>
        </w:tabs>
        <w:rPr>
          <w:rFonts w:eastAsiaTheme="minorEastAsia" w:cstheme="minorBidi"/>
          <w:noProof/>
          <w:sz w:val="24"/>
          <w:szCs w:val="24"/>
          <w:lang w:eastAsia="ja-JP"/>
        </w:rPr>
      </w:pPr>
      <w:r w:rsidRPr="00BD040C">
        <w:rPr>
          <w:rFonts w:ascii="Georgia" w:hAnsi="Georgia"/>
          <w:noProof/>
        </w:rPr>
        <w:t>CASO 3. INCLUYENDO A LA BASE DE LA PIRÁMIDE COMO DISTRIBUIDORES EN AFRICA: COCA-COLA</w:t>
      </w:r>
      <w:r>
        <w:rPr>
          <w:noProof/>
        </w:rPr>
        <w:tab/>
      </w:r>
      <w:r>
        <w:rPr>
          <w:noProof/>
        </w:rPr>
        <w:fldChar w:fldCharType="begin"/>
      </w:r>
      <w:r>
        <w:rPr>
          <w:noProof/>
        </w:rPr>
        <w:instrText xml:space="preserve"> PAGEREF _Toc291670213 \h </w:instrText>
      </w:r>
      <w:r>
        <w:rPr>
          <w:noProof/>
        </w:rPr>
      </w:r>
      <w:r>
        <w:rPr>
          <w:noProof/>
        </w:rPr>
        <w:fldChar w:fldCharType="separate"/>
      </w:r>
      <w:r w:rsidR="00807482">
        <w:rPr>
          <w:noProof/>
        </w:rPr>
        <w:t>31</w:t>
      </w:r>
      <w:r>
        <w:rPr>
          <w:noProof/>
        </w:rPr>
        <w:fldChar w:fldCharType="end"/>
      </w:r>
    </w:p>
    <w:p w14:paraId="6DDD232A" w14:textId="77777777" w:rsidR="00047E88" w:rsidRDefault="00047E88">
      <w:pPr>
        <w:pStyle w:val="TOC1"/>
        <w:tabs>
          <w:tab w:val="right" w:leader="dot" w:pos="8488"/>
        </w:tabs>
        <w:rPr>
          <w:rFonts w:asciiTheme="minorHAnsi" w:eastAsiaTheme="minorEastAsia" w:hAnsiTheme="minorHAnsi" w:cstheme="minorBidi"/>
          <w:b w:val="0"/>
          <w:noProof/>
          <w:color w:val="auto"/>
          <w:lang w:eastAsia="ja-JP"/>
        </w:rPr>
      </w:pPr>
      <w:r>
        <w:rPr>
          <w:noProof/>
        </w:rPr>
        <w:t>Conclusión</w:t>
      </w:r>
      <w:r>
        <w:rPr>
          <w:noProof/>
        </w:rPr>
        <w:tab/>
      </w:r>
      <w:r>
        <w:rPr>
          <w:noProof/>
        </w:rPr>
        <w:fldChar w:fldCharType="begin"/>
      </w:r>
      <w:r>
        <w:rPr>
          <w:noProof/>
        </w:rPr>
        <w:instrText xml:space="preserve"> PAGEREF _Toc291670214 \h </w:instrText>
      </w:r>
      <w:r>
        <w:rPr>
          <w:noProof/>
        </w:rPr>
      </w:r>
      <w:r>
        <w:rPr>
          <w:noProof/>
        </w:rPr>
        <w:fldChar w:fldCharType="separate"/>
      </w:r>
      <w:r w:rsidR="00807482">
        <w:rPr>
          <w:noProof/>
        </w:rPr>
        <w:t>34</w:t>
      </w:r>
      <w:r>
        <w:rPr>
          <w:noProof/>
        </w:rPr>
        <w:fldChar w:fldCharType="end"/>
      </w:r>
    </w:p>
    <w:p w14:paraId="579AEDB4" w14:textId="77777777" w:rsidR="00047E88" w:rsidRDefault="00047E88">
      <w:pPr>
        <w:pStyle w:val="TOC1"/>
        <w:tabs>
          <w:tab w:val="right" w:leader="dot" w:pos="8488"/>
        </w:tabs>
        <w:rPr>
          <w:rFonts w:asciiTheme="minorHAnsi" w:eastAsiaTheme="minorEastAsia" w:hAnsiTheme="minorHAnsi" w:cstheme="minorBidi"/>
          <w:b w:val="0"/>
          <w:noProof/>
          <w:color w:val="auto"/>
          <w:lang w:eastAsia="ja-JP"/>
        </w:rPr>
      </w:pPr>
      <w:r w:rsidRPr="00BD040C">
        <w:rPr>
          <w:rFonts w:ascii="Georgia" w:hAnsi="Georgia"/>
          <w:noProof/>
        </w:rPr>
        <w:t>Bibliografía</w:t>
      </w:r>
      <w:r>
        <w:rPr>
          <w:noProof/>
        </w:rPr>
        <w:tab/>
      </w:r>
      <w:r>
        <w:rPr>
          <w:noProof/>
        </w:rPr>
        <w:fldChar w:fldCharType="begin"/>
      </w:r>
      <w:r>
        <w:rPr>
          <w:noProof/>
        </w:rPr>
        <w:instrText xml:space="preserve"> PAGEREF _Toc291670215 \h </w:instrText>
      </w:r>
      <w:r>
        <w:rPr>
          <w:noProof/>
        </w:rPr>
      </w:r>
      <w:r>
        <w:rPr>
          <w:noProof/>
        </w:rPr>
        <w:fldChar w:fldCharType="separate"/>
      </w:r>
      <w:r w:rsidR="00807482">
        <w:rPr>
          <w:noProof/>
        </w:rPr>
        <w:t>36</w:t>
      </w:r>
      <w:r>
        <w:rPr>
          <w:noProof/>
        </w:rPr>
        <w:fldChar w:fldCharType="end"/>
      </w:r>
    </w:p>
    <w:p w14:paraId="4F472C1A" w14:textId="63826EC2" w:rsidR="00B70620" w:rsidRPr="003E689E" w:rsidRDefault="00047E88" w:rsidP="00B70620">
      <w:pPr>
        <w:spacing w:before="120" w:line="360" w:lineRule="auto"/>
        <w:jc w:val="both"/>
        <w:rPr>
          <w:rFonts w:ascii="Georgia" w:eastAsiaTheme="majorEastAsia" w:hAnsi="Georgia" w:cs="Arial"/>
          <w:bCs/>
          <w:i/>
          <w:caps/>
          <w:color w:val="000000"/>
          <w:sz w:val="28"/>
          <w:szCs w:val="28"/>
        </w:rPr>
      </w:pPr>
      <w:r>
        <w:rPr>
          <w:rFonts w:ascii="Georgia" w:eastAsiaTheme="majorEastAsia" w:hAnsi="Georgia" w:cs="Arial"/>
          <w:b/>
          <w:bCs/>
          <w:i/>
          <w:caps/>
          <w:color w:val="000000"/>
          <w:sz w:val="28"/>
          <w:szCs w:val="28"/>
        </w:rPr>
        <w:fldChar w:fldCharType="end"/>
      </w:r>
    </w:p>
    <w:p w14:paraId="7873D402" w14:textId="77777777" w:rsidR="00B70620" w:rsidRPr="003E689E" w:rsidRDefault="00B70620" w:rsidP="00B70620">
      <w:pPr>
        <w:pStyle w:val="Heading1"/>
        <w:widowControl w:val="0"/>
        <w:autoSpaceDE w:val="0"/>
        <w:autoSpaceDN w:val="0"/>
        <w:adjustRightInd w:val="0"/>
        <w:spacing w:line="360" w:lineRule="auto"/>
        <w:jc w:val="both"/>
        <w:rPr>
          <w:rFonts w:ascii="Georgia" w:hAnsi="Georgia" w:cs="Arial"/>
          <w:color w:val="118BD8"/>
          <w:lang w:val="en-US"/>
        </w:rPr>
      </w:pPr>
    </w:p>
    <w:p w14:paraId="48433F01" w14:textId="77777777" w:rsidR="007660E5" w:rsidRPr="003E689E" w:rsidRDefault="007660E5" w:rsidP="00B70620">
      <w:pPr>
        <w:rPr>
          <w:rFonts w:ascii="Georgia" w:hAnsi="Georgia"/>
          <w:lang w:val="en-US"/>
        </w:rPr>
      </w:pPr>
    </w:p>
    <w:p w14:paraId="6FF2A7FC" w14:textId="36B126C2" w:rsidR="00B70620" w:rsidRPr="003E689E" w:rsidRDefault="007660E5" w:rsidP="00B70620">
      <w:pPr>
        <w:rPr>
          <w:rFonts w:ascii="Georgia" w:hAnsi="Georgia"/>
          <w:lang w:val="en-US"/>
        </w:rPr>
      </w:pPr>
      <w:r w:rsidRPr="003E689E">
        <w:rPr>
          <w:rFonts w:ascii="Georgia" w:hAnsi="Georgia"/>
          <w:noProof/>
          <w:lang w:val="en-US"/>
        </w:rPr>
        <w:lastRenderedPageBreak/>
        <mc:AlternateContent>
          <mc:Choice Requires="wps">
            <w:drawing>
              <wp:anchor distT="0" distB="0" distL="114300" distR="114300" simplePos="0" relativeHeight="251686912" behindDoc="0" locked="0" layoutInCell="1" allowOverlap="1" wp14:anchorId="3DBA95DB" wp14:editId="10AB8FB7">
                <wp:simplePos x="0" y="0"/>
                <wp:positionH relativeFrom="column">
                  <wp:posOffset>-114300</wp:posOffset>
                </wp:positionH>
                <wp:positionV relativeFrom="paragraph">
                  <wp:posOffset>909955</wp:posOffset>
                </wp:positionV>
                <wp:extent cx="5715000" cy="7200900"/>
                <wp:effectExtent l="0" t="0" r="0" b="12700"/>
                <wp:wrapSquare wrapText="bothSides"/>
                <wp:docPr id="13355" name="Text Box 13355"/>
                <wp:cNvGraphicFramePr/>
                <a:graphic xmlns:a="http://schemas.openxmlformats.org/drawingml/2006/main">
                  <a:graphicData uri="http://schemas.microsoft.com/office/word/2010/wordprocessingShape">
                    <wps:wsp>
                      <wps:cNvSpPr txBox="1"/>
                      <wps:spPr>
                        <a:xfrm>
                          <a:off x="0" y="0"/>
                          <a:ext cx="57150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A9C70" w14:textId="77777777" w:rsidR="00D41FC4" w:rsidRPr="007660E5" w:rsidRDefault="00D41FC4" w:rsidP="007468D7">
                            <w:pPr>
                              <w:jc w:val="center"/>
                              <w:rPr>
                                <w:color w:val="FFFFFF" w:themeColor="background1"/>
                                <w:sz w:val="44"/>
                                <w:szCs w:val="44"/>
                                <w:lang w:val="en-US"/>
                              </w:rPr>
                            </w:pPr>
                          </w:p>
                          <w:p w14:paraId="16A9B0B6" w14:textId="6AAE6FC9" w:rsidR="00D41FC4" w:rsidRPr="000A46EA" w:rsidRDefault="00D41FC4" w:rsidP="000A46EA">
                            <w:pPr>
                              <w:pStyle w:val="Heading1"/>
                              <w:widowControl w:val="0"/>
                              <w:autoSpaceDE w:val="0"/>
                              <w:autoSpaceDN w:val="0"/>
                              <w:adjustRightInd w:val="0"/>
                              <w:spacing w:line="360" w:lineRule="auto"/>
                              <w:jc w:val="center"/>
                              <w:rPr>
                                <w:rFonts w:ascii="Arial" w:hAnsi="Arial" w:cs="Arial"/>
                                <w:color w:val="FFFFFF" w:themeColor="background1"/>
                                <w:sz w:val="72"/>
                                <w:szCs w:val="72"/>
                              </w:rPr>
                            </w:pPr>
                            <w:r w:rsidRPr="000A46EA">
                              <w:rPr>
                                <w:rFonts w:ascii="Arial" w:hAnsi="Arial" w:cs="Arial"/>
                                <w:color w:val="FFFFFF" w:themeColor="background1"/>
                                <w:sz w:val="72"/>
                                <w:szCs w:val="72"/>
                              </w:rPr>
                              <w:t xml:space="preserve">Introducción: </w:t>
                            </w:r>
                          </w:p>
                          <w:p w14:paraId="1CE05832" w14:textId="0D80C590" w:rsidR="00D41FC4" w:rsidRPr="000A46EA" w:rsidRDefault="00D41FC4" w:rsidP="007468D7">
                            <w:pPr>
                              <w:pStyle w:val="Heading1"/>
                              <w:widowControl w:val="0"/>
                              <w:autoSpaceDE w:val="0"/>
                              <w:autoSpaceDN w:val="0"/>
                              <w:adjustRightInd w:val="0"/>
                              <w:spacing w:line="360" w:lineRule="auto"/>
                              <w:jc w:val="center"/>
                              <w:rPr>
                                <w:rFonts w:ascii="Arial" w:hAnsi="Arial" w:cs="Arial"/>
                                <w:color w:val="FFFFFF" w:themeColor="background1"/>
                                <w:sz w:val="72"/>
                                <w:szCs w:val="72"/>
                                <w:lang w:val="en-US"/>
                              </w:rPr>
                            </w:pPr>
                            <w:r w:rsidRPr="000A46EA">
                              <w:rPr>
                                <w:rFonts w:ascii="Arial" w:hAnsi="Arial" w:cs="Arial"/>
                                <w:color w:val="FFFFFF" w:themeColor="background1"/>
                                <w:sz w:val="72"/>
                                <w:szCs w:val="72"/>
                              </w:rPr>
                              <w:t>Un nuevo rol de las empresas ante los retos sociales y de desarrollo</w:t>
                            </w:r>
                          </w:p>
                          <w:p w14:paraId="215F1BB7" w14:textId="77777777" w:rsidR="00D41FC4" w:rsidRPr="007660E5" w:rsidRDefault="00D41FC4" w:rsidP="007468D7">
                            <w:pPr>
                              <w:jc w:val="cente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55" o:spid="_x0000_s1028" type="#_x0000_t202" style="position:absolute;margin-left:-8.95pt;margin-top:71.65pt;width:450pt;height:5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wrjtUCAAAeBgAADgAAAGRycy9lMm9Eb2MueG1srFTBbtswDL0P2D8Iuqe206RtjDqFmyLDgGIt&#10;1g49K7KcGLMlTVISZ8P+fU9ynKbdDuuwi02RFEU+PvLyqm1qshHGVkpmNDmJKRGSq6KSy4x+eZwP&#10;LiixjsmC1UqKjO6EpVfT9+8utzoVQ7VSdSEMQRBp063O6Mo5nUaR5SvRMHuitJAwlso0zOFollFh&#10;2BbRmzoaxvFZtFWm0EZxYS20N52RTkP8shTc3ZWlFY7UGUVuLnxN+C78N5pesnRpmF5VfJ8G+4cs&#10;GlZJPHoIdcMcI2tT/RaqqbhRVpXuhKsmUmVZcRFqQDVJ/KqahxXTItQCcKw+wGT/X1j+aXNvSFWg&#10;d6en4zElkjVo06NoHblWLem0QGmrbQrnBw1318KEGx49r7dQ+uLb0jT+j7II7MB7d8DYB+RQjs+T&#10;cRzDxGE7RwsnOCBO9HxdG+s+CNUQL2TUoIkBW7a5ta5z7V38a1LNq7qGnqW1fKFAzE4jAhO62yxF&#10;KhC9p08qdOnHbHw+zM/Hk8FZPk4GoyS+GOR5PBzczPM4j0fz2WR0/RNZNCwZpVvwRYNtHiUgMa/Z&#10;ct8bb/675jSMv6BykkSBRF19CBwg6VONnmEOktvVoiv4syjRvoC2V4TBEbPakA0D5RnnQrrQqAAG&#10;vL1XCcDecnHvHyALUL7lcgd+/7KS7nC5qaQyobWv0i6+9imXnT/AOKrbi65dtIG3w56FC1XsQE6j&#10;uiG3ms8rEOiWWXfPDKYapMOmcnf4lLXaZlTtJUpWynz/k977o5+wUuK7nlH7bc2MoKT+KDGGk2Q0&#10;8mslHEbgEA7m2LI4tsh1M1PoSoKdqHkQvb+re7E0qnnCQsv9qzAxyfF2Rl0vzly3u7AQucjz4IRF&#10;opm7lQ+a+9C+SX48HtsnZvR+hhyI9En1+4Slr0ap8/U3pcrXTpVVmDOPc4fqHn8soUDL/cL0W+74&#10;HLye1/r0FwAAAP//AwBQSwMEFAAGAAgAAAAhAHBNVLHgAAAADAEAAA8AAABkcnMvZG93bnJldi54&#10;bWxMj8FOg0AQhu8mvsNmTLy1u0AViiyN0XjVtNom3rYwBSI7S9htwbd3POlx5v/yzzfFZra9uODo&#10;O0caoqUCgVS5uqNGw8f7yyID4YOh2vSOUMM3etiU11eFyWs30RYvu9AILiGfGw1tCEMupa9atMYv&#10;3YDE2cmN1gQex0bWo5m43PYyVupeWtMRX2jNgE8tVl+7s9Wwfz19HlbqrXm2d8PkZiXJrqXWtzfz&#10;4wOIgHP4g+FXn9WhZKejO1PtRa9hEaVrRjlYJQkIJrIsjkAceROnaQKyLOT/J8ofAAAA//8DAFBL&#10;AQItABQABgAIAAAAIQDkmcPA+wAAAOEBAAATAAAAAAAAAAAAAAAAAAAAAABbQ29udGVudF9UeXBl&#10;c10ueG1sUEsBAi0AFAAGAAgAAAAhACOyauHXAAAAlAEAAAsAAAAAAAAAAAAAAAAALAEAAF9yZWxz&#10;Ly5yZWxzUEsBAi0AFAAGAAgAAAAhANJcK47VAgAAHgYAAA4AAAAAAAAAAAAAAAAALAIAAGRycy9l&#10;Mm9Eb2MueG1sUEsBAi0AFAAGAAgAAAAhAHBNVLHgAAAADAEAAA8AAAAAAAAAAAAAAAAALQUAAGRy&#10;cy9kb3ducmV2LnhtbFBLBQYAAAAABAAEAPMAAAA6BgAAAAA=&#10;" filled="f" stroked="f">
                <v:textbox>
                  <w:txbxContent>
                    <w:p w14:paraId="69CA9C70" w14:textId="77777777" w:rsidR="00D41FC4" w:rsidRPr="007660E5" w:rsidRDefault="00D41FC4" w:rsidP="007468D7">
                      <w:pPr>
                        <w:jc w:val="center"/>
                        <w:rPr>
                          <w:color w:val="FFFFFF" w:themeColor="background1"/>
                          <w:sz w:val="44"/>
                          <w:szCs w:val="44"/>
                          <w:lang w:val="en-US"/>
                        </w:rPr>
                      </w:pPr>
                    </w:p>
                    <w:p w14:paraId="16A9B0B6" w14:textId="6AAE6FC9" w:rsidR="00D41FC4" w:rsidRPr="000A46EA" w:rsidRDefault="00D41FC4" w:rsidP="000A46EA">
                      <w:pPr>
                        <w:pStyle w:val="Heading1"/>
                        <w:widowControl w:val="0"/>
                        <w:autoSpaceDE w:val="0"/>
                        <w:autoSpaceDN w:val="0"/>
                        <w:adjustRightInd w:val="0"/>
                        <w:spacing w:line="360" w:lineRule="auto"/>
                        <w:jc w:val="center"/>
                        <w:rPr>
                          <w:rFonts w:ascii="Arial" w:hAnsi="Arial" w:cs="Arial"/>
                          <w:color w:val="FFFFFF" w:themeColor="background1"/>
                          <w:sz w:val="72"/>
                          <w:szCs w:val="72"/>
                        </w:rPr>
                      </w:pPr>
                      <w:r w:rsidRPr="000A46EA">
                        <w:rPr>
                          <w:rFonts w:ascii="Arial" w:hAnsi="Arial" w:cs="Arial"/>
                          <w:color w:val="FFFFFF" w:themeColor="background1"/>
                          <w:sz w:val="72"/>
                          <w:szCs w:val="72"/>
                        </w:rPr>
                        <w:t xml:space="preserve">Introducción: </w:t>
                      </w:r>
                    </w:p>
                    <w:p w14:paraId="1CE05832" w14:textId="0D80C590" w:rsidR="00D41FC4" w:rsidRPr="000A46EA" w:rsidRDefault="00D41FC4" w:rsidP="007468D7">
                      <w:pPr>
                        <w:pStyle w:val="Heading1"/>
                        <w:widowControl w:val="0"/>
                        <w:autoSpaceDE w:val="0"/>
                        <w:autoSpaceDN w:val="0"/>
                        <w:adjustRightInd w:val="0"/>
                        <w:spacing w:line="360" w:lineRule="auto"/>
                        <w:jc w:val="center"/>
                        <w:rPr>
                          <w:rFonts w:ascii="Arial" w:hAnsi="Arial" w:cs="Arial"/>
                          <w:color w:val="FFFFFF" w:themeColor="background1"/>
                          <w:sz w:val="72"/>
                          <w:szCs w:val="72"/>
                          <w:lang w:val="en-US"/>
                        </w:rPr>
                      </w:pPr>
                      <w:r w:rsidRPr="000A46EA">
                        <w:rPr>
                          <w:rFonts w:ascii="Arial" w:hAnsi="Arial" w:cs="Arial"/>
                          <w:color w:val="FFFFFF" w:themeColor="background1"/>
                          <w:sz w:val="72"/>
                          <w:szCs w:val="72"/>
                        </w:rPr>
                        <w:t>Un nuevo rol de las empresas ante los retos sociales y de desarrollo</w:t>
                      </w:r>
                    </w:p>
                    <w:p w14:paraId="215F1BB7" w14:textId="77777777" w:rsidR="00D41FC4" w:rsidRPr="007660E5" w:rsidRDefault="00D41FC4" w:rsidP="007468D7">
                      <w:pPr>
                        <w:jc w:val="center"/>
                        <w:rPr>
                          <w:color w:val="FFFFFF" w:themeColor="background1"/>
                          <w:sz w:val="44"/>
                          <w:szCs w:val="44"/>
                        </w:rPr>
                      </w:pPr>
                    </w:p>
                  </w:txbxContent>
                </v:textbox>
                <w10:wrap type="square"/>
              </v:shape>
            </w:pict>
          </mc:Fallback>
        </mc:AlternateContent>
      </w:r>
      <w:r w:rsidRPr="003E689E">
        <w:rPr>
          <w:rFonts w:ascii="Georgia" w:hAnsi="Georgia"/>
          <w:noProof/>
          <w:lang w:val="en-US"/>
        </w:rPr>
        <mc:AlternateContent>
          <mc:Choice Requires="wps">
            <w:drawing>
              <wp:anchor distT="0" distB="0" distL="114300" distR="114300" simplePos="0" relativeHeight="251685888" behindDoc="0" locked="0" layoutInCell="1" allowOverlap="1" wp14:anchorId="6DB71833" wp14:editId="4D5896EC">
                <wp:simplePos x="0" y="0"/>
                <wp:positionH relativeFrom="column">
                  <wp:posOffset>-927735</wp:posOffset>
                </wp:positionH>
                <wp:positionV relativeFrom="paragraph">
                  <wp:posOffset>-1094740</wp:posOffset>
                </wp:positionV>
                <wp:extent cx="7543800" cy="10758805"/>
                <wp:effectExtent l="0" t="0" r="25400" b="36195"/>
                <wp:wrapThrough wrapText="bothSides">
                  <wp:wrapPolygon edited="0">
                    <wp:start x="0" y="0"/>
                    <wp:lineTo x="0" y="21622"/>
                    <wp:lineTo x="21600" y="21622"/>
                    <wp:lineTo x="21600" y="0"/>
                    <wp:lineTo x="0" y="0"/>
                  </wp:wrapPolygon>
                </wp:wrapThrough>
                <wp:docPr id="133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758805"/>
                        </a:xfrm>
                        <a:prstGeom prst="rect">
                          <a:avLst/>
                        </a:prstGeom>
                        <a:solidFill>
                          <a:srgbClr val="008000"/>
                        </a:solidFill>
                        <a:ln>
                          <a:headEnd/>
                          <a:tailEnd/>
                        </a:ln>
                      </wps:spPr>
                      <wps:style>
                        <a:lnRef idx="2">
                          <a:schemeClr val="accent2">
                            <a:shade val="50000"/>
                          </a:schemeClr>
                        </a:lnRef>
                        <a:fillRef idx="1">
                          <a:schemeClr val="accent2"/>
                        </a:fillRef>
                        <a:effectRef idx="0">
                          <a:schemeClr val="accent2"/>
                        </a:effectRef>
                        <a:fontRef idx="minor">
                          <a:schemeClr val="lt1"/>
                        </a:fontRef>
                      </wps:style>
                      <wps:bodyPr wrap="none"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3pt;margin-top:-86.15pt;width:594pt;height:847.1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Pb6CsCAACYBAAADgAAAGRycy9lMm9Eb2MueG1srFTLbtswELwX6D8QvNeSE7sxhMhBkTS9pG2Q&#10;tB+wplYWUYpLkIxl/32XlK2kD7RA0YsgijvDmeGuLq/2vRE79EGTreV8VkqBVlGj7baWX7/cvllJ&#10;ESLYBgxZrOUBg7xav351ObgKz6gj06AXTGJDNbhadjG6qiiC6rCHMCOHljdb8j1EXvpt0XgYmL03&#10;xVlZvi0G8o3zpDAE/nozbsp15m9bVPFz2waMwtSStcX89Pm5Sc9ifQnV1oPrtDrKgH9Q0YO2fOhE&#10;dQMRxJPXv1D1WnkK1MaZor6gttUKswd2My9/cvPYgcPshcMJboop/D9a9Wl374Vu+O7Oz5cLKSz0&#10;fE0PHBzYrUGxSBENLlRc+ejufTIZ3B2pb0FYuu64Ct95T0OH0LCweaovfgCkRWCo2AwfqWF2eIqU&#10;09q3vk+EnIPY50s5TJeC+ygUf7xYLs5XJd+d4r15ebFcrcplPgSqE975ED8g9SK91NKz+swPu7sQ&#10;kx6oTiVZPxnd3Gpj8sJvN9fGix2kFin5qNwVDAkvy4xNxcnke9vkromgzfjOtWk7u05Gx8BCPBhM&#10;IGMfsOWM2cxZlpW7G6dDQSm08bjVQYOjliUrmaSkeUiI7CUTJuaWPUzc8z9xjyEc6xMU83BM4PLv&#10;4AmRTyYbJ3CvLfnfEZg4tgMrHetPIY3RpMbYUHPg1hh4BGtp+R8hBVjVEc+oin5qJm7/bP04qmm+&#10;Xq4z7/MPZf0dAAD//wMAUEsDBBQABgAIAAAAIQCoaus64wAAAA8BAAAPAAAAZHJzL2Rvd25yZXYu&#10;eG1sTI/BTsMwEETvSPyDtUhcUOvUlKYKcSqoxAFutEi0Nzc2cSBeh9hNwt+zOcFtdnc0+ybfjK5h&#10;velC7VHCYp4AM1h6XWMl4W3/NFsDC1GhVo1HI+HHBNgUlxe5yrQf8NX0u1gxCsGQKQk2xjbjPJTW&#10;OBXmvjVItw/fORVp7CquOzVQuGu4SJIVd6pG+mBVa7bWlF+7s5Pw2OP3tjoexHB4v0mf7ajS/eeL&#10;lNdX48M9sGjG+GeGCZ/QoSCmkz+jDqyRMFssV1QmTioVt8AmT7IUtDuRuhOkeJHz/z2KXwAAAP//&#10;AwBQSwECLQAUAAYACAAAACEA5JnDwPsAAADhAQAAEwAAAAAAAAAAAAAAAAAAAAAAW0NvbnRlbnRf&#10;VHlwZXNdLnhtbFBLAQItABQABgAIAAAAIQAjsmrh1wAAAJQBAAALAAAAAAAAAAAAAAAAACwBAABf&#10;cmVscy8ucmVsc1BLAQItABQABgAIAAAAIQAg89voKwIAAJgEAAAOAAAAAAAAAAAAAAAAACwCAABk&#10;cnMvZTJvRG9jLnhtbFBLAQItABQABgAIAAAAIQCoaus64wAAAA8BAAAPAAAAAAAAAAAAAAAAAIME&#10;AABkcnMvZG93bnJldi54bWxQSwUGAAAAAAQABADzAAAAkwUAAAAA&#10;" fillcolor="green" strokecolor="#622423 [1605]" strokeweight="2pt">
                <w10:wrap type="through"/>
              </v:rect>
            </w:pict>
          </mc:Fallback>
        </mc:AlternateContent>
      </w:r>
    </w:p>
    <w:p w14:paraId="149A3FBB" w14:textId="77777777" w:rsidR="00B70620" w:rsidRPr="003E689E" w:rsidRDefault="00B70620" w:rsidP="00B70620">
      <w:pPr>
        <w:pStyle w:val="ebook-T1"/>
        <w:rPr>
          <w:rFonts w:ascii="Georgia" w:hAnsi="Georgia"/>
          <w:color w:val="118BD8"/>
          <w:lang w:val="en-US"/>
        </w:rPr>
      </w:pPr>
      <w:bookmarkStart w:id="5" w:name="_Toc291670196"/>
      <w:r w:rsidRPr="003E689E">
        <w:rPr>
          <w:rFonts w:ascii="Georgia" w:hAnsi="Georgia"/>
        </w:rPr>
        <w:lastRenderedPageBreak/>
        <w:t>Introducción: un nuevo rol de las empresas ante los retos sociales y de desarrollo</w:t>
      </w:r>
      <w:bookmarkEnd w:id="5"/>
      <w:r w:rsidRPr="003E689E">
        <w:rPr>
          <w:rFonts w:ascii="Georgia" w:hAnsi="Georgia"/>
        </w:rPr>
        <w:t xml:space="preserve"> </w:t>
      </w:r>
    </w:p>
    <w:p w14:paraId="7C8B9D88" w14:textId="77777777" w:rsidR="00B70620" w:rsidRPr="003E689E" w:rsidRDefault="00B70620" w:rsidP="00B70620">
      <w:pPr>
        <w:pStyle w:val="ebook-T2"/>
        <w:rPr>
          <w:rFonts w:ascii="Georgia" w:hAnsi="Georgia"/>
          <w:lang w:val="en-US"/>
        </w:rPr>
      </w:pPr>
      <w:bookmarkStart w:id="6" w:name="_Toc291670197"/>
      <w:r w:rsidRPr="003E689E">
        <w:rPr>
          <w:rFonts w:ascii="Georgia" w:hAnsi="Georgia"/>
          <w:lang w:val="en-US"/>
        </w:rPr>
        <w:t>Los desafíos globales y el sector privado</w:t>
      </w:r>
      <w:bookmarkEnd w:id="6"/>
    </w:p>
    <w:p w14:paraId="132757E1" w14:textId="77777777" w:rsidR="00B70620" w:rsidRPr="003E689E" w:rsidRDefault="00B70620" w:rsidP="00B70620">
      <w:pPr>
        <w:spacing w:before="120" w:line="360" w:lineRule="auto"/>
        <w:jc w:val="both"/>
        <w:rPr>
          <w:rFonts w:ascii="Georgia" w:hAnsi="Georgia" w:cs="Arial"/>
          <w:bCs/>
          <w:color w:val="000000"/>
          <w:sz w:val="28"/>
          <w:szCs w:val="28"/>
        </w:rPr>
      </w:pPr>
      <w:r w:rsidRPr="003E689E">
        <w:rPr>
          <w:rFonts w:ascii="Georgia" w:hAnsi="Georgia" w:cs="Arial"/>
          <w:sz w:val="28"/>
          <w:szCs w:val="28"/>
        </w:rPr>
        <w:t xml:space="preserve">La extrema pobreza en el mundo llama a acciones urgentes. Más de  4000 millones de personas </w:t>
      </w:r>
      <w:r w:rsidRPr="008100B4">
        <w:rPr>
          <w:rFonts w:ascii="Georgia" w:hAnsi="Georgia" w:cs="Arial"/>
          <w:sz w:val="28"/>
          <w:szCs w:val="28"/>
        </w:rPr>
        <w:t>viven con menos de 2 dólares al día, más de 1000 millones no tienen acceso al agua potable, 1 600 no tiene electricidad y 5 400 no tienen acceso a Internet.</w:t>
      </w:r>
    </w:p>
    <w:p w14:paraId="676314BF"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Georgia" w:hAnsi="Georgia" w:cs="Arial"/>
          <w:color w:val="000000"/>
          <w:sz w:val="28"/>
          <w:szCs w:val="28"/>
        </w:rPr>
      </w:pPr>
      <w:r w:rsidRPr="003E689E">
        <w:rPr>
          <w:rFonts w:ascii="Georgia" w:hAnsi="Georgia" w:cs="Arial"/>
          <w:color w:val="000000"/>
          <w:sz w:val="28"/>
          <w:szCs w:val="28"/>
        </w:rPr>
        <w:t>Los negocios inclusivos se enmarcan en una nueva ética de la responsabilidad frente a problemas sociales, en la que distintos actores del sector corporativo y financiero, tercer sector y sector público, se sienten emplazados a contribuir a la mejora de la situación de pobreza de las comunidades desfavorecidas (Cortina; 2003).</w:t>
      </w:r>
    </w:p>
    <w:p w14:paraId="5F1FE49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Georgia" w:hAnsi="Georgia" w:cs="Arial"/>
          <w:sz w:val="28"/>
          <w:szCs w:val="28"/>
        </w:rPr>
      </w:pPr>
      <w:r w:rsidRPr="003E689E">
        <w:rPr>
          <w:rFonts w:ascii="Georgia" w:hAnsi="Georgia" w:cs="Arial"/>
          <w:sz w:val="28"/>
          <w:szCs w:val="28"/>
        </w:rPr>
        <w:t>Muchos de estos actores están reflexionando sobre su papel ante los retos sociales y ante la necesidad imperiosa de un nuevo paradigma de desarrollo basado en el crecimiento económico, la equidad y el desarrollo económico y social. Al mismo tiempo,  están surgiendo nuevas fórmulas para trabajar de forma conjunta y responder de manera más eficiente y  con mayor impacto</w:t>
      </w:r>
    </w:p>
    <w:p w14:paraId="659047D8"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Georgia" w:hAnsi="Georgia" w:cs="Arial"/>
          <w:color w:val="000000"/>
          <w:sz w:val="28"/>
          <w:szCs w:val="28"/>
        </w:rPr>
      </w:pPr>
      <w:r w:rsidRPr="003E689E">
        <w:rPr>
          <w:rFonts w:ascii="Georgia" w:hAnsi="Georgia" w:cs="Arial"/>
          <w:color w:val="000000"/>
          <w:sz w:val="28"/>
          <w:szCs w:val="28"/>
        </w:rPr>
        <w:t>Cada uno de estos actores ha desarrollado estrategias e iniciativas para contribuir a este objetivo. Entre ellos, las empresas han asumido en los últimos años un mayor protagonismo en la aportación de soluciones a cuestiones como la exclusión social y la pobreza desde varias perspectivas.</w:t>
      </w:r>
    </w:p>
    <w:p w14:paraId="6B211A02"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Georgia" w:hAnsi="Georgia" w:cs="Arial"/>
          <w:i/>
          <w:color w:val="000000"/>
          <w:sz w:val="28"/>
          <w:szCs w:val="28"/>
        </w:rPr>
      </w:pPr>
      <w:r w:rsidRPr="003E689E">
        <w:rPr>
          <w:rFonts w:ascii="Georgia" w:hAnsi="Georgia" w:cs="Arial"/>
          <w:color w:val="000000"/>
          <w:sz w:val="28"/>
          <w:szCs w:val="28"/>
        </w:rPr>
        <w:lastRenderedPageBreak/>
        <w:t>En un primer momento a través de la Responsabilidad Social Corporativa (RSC) o Responsabilidad Social Empresarial (RSE),  definida por el World Business Council for Sustainable Development (WBCSD) como “</w:t>
      </w:r>
      <w:r w:rsidRPr="003E689E">
        <w:rPr>
          <w:rFonts w:ascii="Georgia" w:hAnsi="Georgia" w:cs="Arial"/>
          <w:i/>
          <w:color w:val="000000"/>
          <w:sz w:val="28"/>
          <w:szCs w:val="28"/>
        </w:rPr>
        <w:t xml:space="preserve">El compromiso de la empresa para contribuir al desarrollo económico sostenido trabajando con los empleados, sus familias, la comunidad local y toda la sociedad para mejorar la calidad de vida”. </w:t>
      </w:r>
    </w:p>
    <w:p w14:paraId="6FEFB82F"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Georgia" w:hAnsi="Georgia" w:cs="Arial"/>
          <w:color w:val="000000"/>
          <w:sz w:val="28"/>
          <w:szCs w:val="28"/>
        </w:rPr>
      </w:pPr>
      <w:r w:rsidRPr="003E689E">
        <w:rPr>
          <w:rFonts w:ascii="Georgia" w:hAnsi="Georgia" w:cs="Arial"/>
          <w:color w:val="000000"/>
          <w:sz w:val="28"/>
          <w:szCs w:val="28"/>
        </w:rPr>
        <w:t>Posteriormente, surgen otro tipo de propuestas que destacan la oportunidad de llevar la lógica empresarial a las comunidades desfavorecidas como respuesta a la superación de la pobreza (Prahalad, 2005) y que  se centran en encontrar soluciones que tengan impacto social y además tengan viabilidad económica e idealmente rentabilidad financiera.</w:t>
      </w:r>
    </w:p>
    <w:p w14:paraId="54BA8CD7" w14:textId="712114A8" w:rsidR="002843D3" w:rsidRPr="003E689E" w:rsidRDefault="00B70620" w:rsidP="00EF2C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noProof/>
          <w:color w:val="000000"/>
          <w:sz w:val="28"/>
          <w:szCs w:val="28"/>
          <w:lang w:val="en-US"/>
        </w:rPr>
        <w:drawing>
          <wp:anchor distT="0" distB="0" distL="114300" distR="114300" simplePos="0" relativeHeight="251681792" behindDoc="0" locked="0" layoutInCell="1" allowOverlap="1" wp14:anchorId="33B4120D" wp14:editId="1E254269">
            <wp:simplePos x="0" y="0"/>
            <wp:positionH relativeFrom="column">
              <wp:posOffset>114300</wp:posOffset>
            </wp:positionH>
            <wp:positionV relativeFrom="paragraph">
              <wp:posOffset>104140</wp:posOffset>
            </wp:positionV>
            <wp:extent cx="5088890" cy="2528570"/>
            <wp:effectExtent l="0" t="0" r="0" b="11430"/>
            <wp:wrapSquare wrapText="bothSides"/>
            <wp:docPr id="13329" name="Imagen 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0" cstate="print"/>
                    <a:srcRect/>
                    <a:stretch>
                      <a:fillRect/>
                    </a:stretch>
                  </pic:blipFill>
                  <pic:spPr bwMode="auto">
                    <a:xfrm>
                      <a:off x="0" y="0"/>
                      <a:ext cx="5088890" cy="2528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E689E">
        <w:rPr>
          <w:rFonts w:ascii="Georgia" w:hAnsi="Georgia" w:cs="Arial"/>
          <w:color w:val="000000"/>
          <w:sz w:val="28"/>
          <w:szCs w:val="28"/>
        </w:rPr>
        <w:t xml:space="preserve">En esta línea, empieza a cambiar en el ámbito empresarial el concepto tradicional de los pobres necesitados para empezar a considerarles como potenciales consumidores y como trabajadores y emprendedores con alta capacidad de desempeño. Bajo esta premisa emerge un nuevo enfoque que implica el “asociarse con ellos para </w:t>
      </w:r>
      <w:r w:rsidRPr="003E689E">
        <w:rPr>
          <w:rFonts w:ascii="Georgia" w:hAnsi="Georgia" w:cs="Arial"/>
          <w:color w:val="000000"/>
          <w:sz w:val="28"/>
          <w:szCs w:val="28"/>
        </w:rPr>
        <w:lastRenderedPageBreak/>
        <w:t>innovar y lograr escenarios ganadores en los cuales los pobres estén activamente comprometidos y donde, al mismo tiempo, las compañías que les suministran productos y servicios sean rentables.” (Prahalad; 2005:6) .</w:t>
      </w:r>
    </w:p>
    <w:p w14:paraId="254AAE92" w14:textId="77777777" w:rsidR="00B70620" w:rsidRPr="003E689E" w:rsidRDefault="00B70620" w:rsidP="00B70620">
      <w:pPr>
        <w:pStyle w:val="ebook-T2"/>
        <w:rPr>
          <w:rFonts w:ascii="Georgia" w:hAnsi="Georgia"/>
        </w:rPr>
      </w:pPr>
      <w:r w:rsidRPr="003E689E">
        <w:rPr>
          <w:rFonts w:ascii="Georgia" w:hAnsi="Georgia"/>
        </w:rPr>
        <w:t xml:space="preserve"> </w:t>
      </w:r>
      <w:bookmarkStart w:id="7" w:name="_Toc291670198"/>
      <w:r w:rsidRPr="003E689E">
        <w:rPr>
          <w:rFonts w:ascii="Georgia" w:hAnsi="Georgia"/>
        </w:rPr>
        <w:t xml:space="preserve">¿A quiénes </w:t>
      </w:r>
      <w:r w:rsidRPr="003E689E">
        <w:rPr>
          <w:rFonts w:ascii="Georgia" w:hAnsi="Georgia" w:cs="Leelawadee"/>
        </w:rPr>
        <w:t>pretenden</w:t>
      </w:r>
      <w:r w:rsidRPr="003E689E">
        <w:rPr>
          <w:rFonts w:ascii="Georgia" w:hAnsi="Georgia"/>
        </w:rPr>
        <w:t xml:space="preserve"> incluir los Negocios Inclusivos?. El concepto de la Base de la Pirámide.</w:t>
      </w:r>
      <w:bookmarkEnd w:id="7"/>
    </w:p>
    <w:p w14:paraId="3D17D215" w14:textId="77777777" w:rsidR="00B70620" w:rsidRDefault="00B70620" w:rsidP="00B70620">
      <w:pPr>
        <w:widowControl w:val="0"/>
        <w:autoSpaceDE w:val="0"/>
        <w:autoSpaceDN w:val="0"/>
        <w:adjustRightInd w:val="0"/>
        <w:spacing w:before="120" w:after="300" w:line="360" w:lineRule="auto"/>
        <w:jc w:val="both"/>
        <w:rPr>
          <w:rFonts w:ascii="Georgia" w:hAnsi="Georgia" w:cs="Arial"/>
          <w:sz w:val="28"/>
          <w:szCs w:val="28"/>
        </w:rPr>
      </w:pPr>
      <w:r w:rsidRPr="003E689E">
        <w:rPr>
          <w:rFonts w:ascii="Georgia" w:hAnsi="Georgia" w:cs="Arial"/>
          <w:sz w:val="28"/>
          <w:szCs w:val="28"/>
        </w:rPr>
        <w:t xml:space="preserve">Los negocios inclusivos se enfocan en el segmento socio-demográfico compuesto por la población pobre situada en el estrato económico inferior y se cuantifica en los </w:t>
      </w:r>
      <w:r w:rsidRPr="003E689E">
        <w:rPr>
          <w:rFonts w:ascii="Georgia" w:hAnsi="Georgia" w:cs="Arial"/>
          <w:color w:val="000000"/>
          <w:sz w:val="28"/>
          <w:szCs w:val="28"/>
        </w:rPr>
        <w:t>4000 millones de personas que viven con un ingreso diario inferior a dos dólares, (</w:t>
      </w:r>
      <w:r w:rsidRPr="003E689E">
        <w:rPr>
          <w:rFonts w:ascii="Georgia" w:hAnsi="Georgia" w:cs="Arial"/>
          <w:sz w:val="28"/>
          <w:szCs w:val="28"/>
        </w:rPr>
        <w:t>en paridad de poder adquisitivo). A este segmento de la población mundial se la conoce como Base de la Pirámide (Prahalad, 2005).</w:t>
      </w:r>
    </w:p>
    <w:p w14:paraId="7C755307" w14:textId="0CFE498A" w:rsidR="0039185A" w:rsidRDefault="0039185A" w:rsidP="00B70620">
      <w:pPr>
        <w:widowControl w:val="0"/>
        <w:autoSpaceDE w:val="0"/>
        <w:autoSpaceDN w:val="0"/>
        <w:adjustRightInd w:val="0"/>
        <w:spacing w:before="120" w:after="300" w:line="360" w:lineRule="auto"/>
        <w:jc w:val="both"/>
        <w:rPr>
          <w:rFonts w:ascii="Georgia" w:hAnsi="Georgia" w:cs="Arial"/>
          <w:sz w:val="28"/>
          <w:szCs w:val="28"/>
        </w:rPr>
      </w:pPr>
      <w:r>
        <w:rPr>
          <w:rFonts w:ascii="Helvetica" w:hAnsi="Helvetica" w:cs="Helvetica"/>
          <w:noProof/>
          <w:sz w:val="24"/>
          <w:szCs w:val="24"/>
          <w:lang w:val="en-US"/>
        </w:rPr>
        <w:drawing>
          <wp:inline distT="0" distB="0" distL="0" distR="0" wp14:anchorId="47CFFF60" wp14:editId="14821A33">
            <wp:extent cx="5396230" cy="380973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230" cy="3809738"/>
                    </a:xfrm>
                    <a:prstGeom prst="rect">
                      <a:avLst/>
                    </a:prstGeom>
                    <a:noFill/>
                    <a:ln>
                      <a:noFill/>
                    </a:ln>
                  </pic:spPr>
                </pic:pic>
              </a:graphicData>
            </a:graphic>
          </wp:inline>
        </w:drawing>
      </w:r>
    </w:p>
    <w:p w14:paraId="55E34E90" w14:textId="10A3F283" w:rsidR="00B70620" w:rsidRPr="003E689E" w:rsidRDefault="00B70620" w:rsidP="00B70620">
      <w:pPr>
        <w:widowControl w:val="0"/>
        <w:autoSpaceDE w:val="0"/>
        <w:autoSpaceDN w:val="0"/>
        <w:adjustRightInd w:val="0"/>
        <w:spacing w:before="120" w:after="300" w:line="360" w:lineRule="auto"/>
        <w:jc w:val="both"/>
        <w:rPr>
          <w:rFonts w:ascii="Georgia" w:hAnsi="Georgia" w:cs="Arial"/>
          <w:sz w:val="28"/>
          <w:szCs w:val="28"/>
        </w:rPr>
      </w:pPr>
      <w:r w:rsidRPr="003E689E">
        <w:rPr>
          <w:rFonts w:ascii="Georgia" w:hAnsi="Georgia" w:cs="Arial"/>
          <w:sz w:val="28"/>
          <w:szCs w:val="28"/>
        </w:rPr>
        <w:lastRenderedPageBreak/>
        <w:t>La Base de la Pirámide se caracteriza principalmente por operar en la economía informal, tener un amplio número de necesidades básicas insatisfechas, así como restricciones que les impiden participar activamente en las economías de mercado, careciendo de acceso a bienes y servicios para garantizar su propio desarrollo.</w:t>
      </w:r>
    </w:p>
    <w:p w14:paraId="0C49C97A" w14:textId="77ECF1E8" w:rsidR="00B70620" w:rsidRPr="003E689E" w:rsidRDefault="008100B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Georgia" w:hAnsi="Georgia" w:cs="Arial"/>
          <w:sz w:val="28"/>
          <w:szCs w:val="28"/>
        </w:rPr>
      </w:pPr>
      <w:r>
        <w:rPr>
          <w:rFonts w:ascii="Times" w:hAnsi="Times" w:cs="Times"/>
          <w:color w:val="343434"/>
          <w:sz w:val="32"/>
          <w:szCs w:val="32"/>
          <w:lang w:val="en-US" w:eastAsia="es-ES"/>
        </w:rPr>
        <w:t xml:space="preserve">En este contexto, el Profesor C.K. Prahalad, Doctor en Administración de Negocios, sugiere en su libro “La Fortuna en la Base de la Pirámide” un cambio de </w:t>
      </w:r>
      <w:r w:rsidR="00F343AC">
        <w:rPr>
          <w:rFonts w:ascii="Georgia" w:hAnsi="Georgia" w:cs="Arial"/>
          <w:sz w:val="28"/>
          <w:szCs w:val="28"/>
        </w:rPr>
        <w:t xml:space="preserve">perspectiva proponiendo </w:t>
      </w:r>
      <w:r>
        <w:rPr>
          <w:rFonts w:ascii="Georgia" w:hAnsi="Georgia" w:cs="Arial"/>
          <w:sz w:val="28"/>
          <w:szCs w:val="28"/>
        </w:rPr>
        <w:t xml:space="preserve">considerar </w:t>
      </w:r>
      <w:r w:rsidR="00B70620" w:rsidRPr="003E689E">
        <w:rPr>
          <w:rFonts w:ascii="Georgia" w:hAnsi="Georgia" w:cs="Arial"/>
          <w:sz w:val="28"/>
          <w:szCs w:val="28"/>
        </w:rPr>
        <w:t>el sector co</w:t>
      </w:r>
      <w:r>
        <w:rPr>
          <w:rFonts w:ascii="Georgia" w:hAnsi="Georgia" w:cs="Arial"/>
          <w:sz w:val="28"/>
          <w:szCs w:val="28"/>
        </w:rPr>
        <w:t xml:space="preserve">mo un mercado estimulante y de </w:t>
      </w:r>
      <w:r w:rsidR="00B70620" w:rsidRPr="003E689E">
        <w:rPr>
          <w:rFonts w:ascii="Georgia" w:hAnsi="Georgia" w:cs="Arial"/>
          <w:sz w:val="28"/>
          <w:szCs w:val="28"/>
        </w:rPr>
        <w:t>rápido crecimiento. Colectivamente, los miles de millones de pobres del mundo, especialmente en Asia, África y en regiones de Europa del Este y América Latina y el Caribe, tienen enormes capacidades empresariales y de compra.</w:t>
      </w:r>
    </w:p>
    <w:p w14:paraId="3D77B837" w14:textId="0B651310" w:rsidR="0039185A"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jc w:val="both"/>
        <w:rPr>
          <w:rFonts w:ascii="Georgia" w:hAnsi="Georgia" w:cs="Arial"/>
          <w:color w:val="000000"/>
          <w:sz w:val="28"/>
          <w:szCs w:val="28"/>
        </w:rPr>
      </w:pPr>
      <w:r w:rsidRPr="003E689E">
        <w:rPr>
          <w:rFonts w:ascii="Georgia" w:hAnsi="Georgia" w:cs="Arial"/>
          <w:color w:val="000000"/>
          <w:sz w:val="28"/>
          <w:szCs w:val="28"/>
        </w:rPr>
        <w:t>El nuevo rol de las empresas como agente que asume su responsabilidad frente a problemas de pobreza y exclusión social y el cambio de paradigma en el que los segmentos desfavorecidos empiezan a considerarse como interesantes nichos de negocio, han permitido el desarrollo del concepto de negocios inclusivos.</w:t>
      </w:r>
    </w:p>
    <w:p w14:paraId="1F2BC6C3" w14:textId="25A0A2ED" w:rsidR="00B70620" w:rsidRDefault="00B70620" w:rsidP="0039185A">
      <w:pPr>
        <w:widowControl w:val="0"/>
        <w:autoSpaceDE w:val="0"/>
        <w:autoSpaceDN w:val="0"/>
        <w:adjustRightInd w:val="0"/>
        <w:spacing w:before="120" w:line="360" w:lineRule="auto"/>
        <w:rPr>
          <w:rFonts w:ascii="Georgia" w:hAnsi="Georgia" w:cs="Arial"/>
          <w:color w:val="535353"/>
          <w:sz w:val="28"/>
          <w:szCs w:val="28"/>
        </w:rPr>
      </w:pPr>
      <w:r w:rsidRPr="003E689E">
        <w:rPr>
          <w:rFonts w:ascii="Georgia" w:hAnsi="Georgia" w:cs="Arial"/>
          <w:color w:val="000000"/>
          <w:sz w:val="28"/>
          <w:szCs w:val="28"/>
        </w:rPr>
        <w:t>Desde este punto de partida se  h</w:t>
      </w:r>
      <w:r w:rsidR="0039185A">
        <w:rPr>
          <w:rFonts w:ascii="Georgia" w:hAnsi="Georgia" w:cs="Arial"/>
          <w:color w:val="000000"/>
          <w:sz w:val="28"/>
          <w:szCs w:val="28"/>
        </w:rPr>
        <w:t xml:space="preserve">an venido elaborando </w:t>
      </w:r>
      <w:r w:rsidR="0039185A">
        <w:rPr>
          <w:rFonts w:ascii="Georgia" w:hAnsi="Georgia" w:cs="Arial"/>
          <w:color w:val="000000"/>
          <w:sz w:val="28"/>
          <w:szCs w:val="28"/>
        </w:rPr>
        <w:tab/>
        <w:t xml:space="preserve">un cuerpo </w:t>
      </w:r>
      <w:r w:rsidRPr="003E689E">
        <w:rPr>
          <w:rFonts w:ascii="Georgia" w:hAnsi="Georgia" w:cs="Arial"/>
          <w:color w:val="000000"/>
          <w:sz w:val="28"/>
          <w:szCs w:val="28"/>
        </w:rPr>
        <w:t>de conceptos, principalmente</w:t>
      </w:r>
      <w:r w:rsidRPr="003E689E">
        <w:rPr>
          <w:rFonts w:ascii="Georgia" w:hAnsi="Georgia" w:cs="Arial"/>
          <w:color w:val="000000"/>
          <w:sz w:val="28"/>
          <w:szCs w:val="28"/>
        </w:rPr>
        <w:tab/>
        <w:t>desde</w:t>
      </w:r>
      <w:r w:rsidRPr="003E689E">
        <w:rPr>
          <w:rFonts w:ascii="Georgia" w:hAnsi="Georgia" w:cs="Arial"/>
          <w:color w:val="000000"/>
          <w:sz w:val="28"/>
          <w:szCs w:val="28"/>
        </w:rPr>
        <w:tab/>
        <w:t>las</w:t>
      </w:r>
      <w:r w:rsidRPr="003E689E">
        <w:rPr>
          <w:rFonts w:ascii="Georgia" w:hAnsi="Georgia" w:cs="Arial"/>
          <w:color w:val="000000"/>
          <w:sz w:val="28"/>
          <w:szCs w:val="28"/>
        </w:rPr>
        <w:tab/>
        <w:t>organizaciones internacionales de desarrollo y desde las escuelas de administración, que describen los alcances</w:t>
      </w:r>
      <w:r w:rsidR="0039185A">
        <w:rPr>
          <w:rFonts w:ascii="Georgia" w:hAnsi="Georgia" w:cs="Arial"/>
          <w:color w:val="000000"/>
          <w:sz w:val="28"/>
          <w:szCs w:val="28"/>
        </w:rPr>
        <w:t xml:space="preserve"> y el propósito</w:t>
      </w:r>
      <w:r w:rsidR="0039185A">
        <w:rPr>
          <w:rFonts w:ascii="Georgia" w:hAnsi="Georgia" w:cs="Arial"/>
          <w:color w:val="000000"/>
          <w:sz w:val="28"/>
          <w:szCs w:val="28"/>
        </w:rPr>
        <w:tab/>
        <w:t>de los</w:t>
      </w:r>
      <w:r w:rsidR="0039185A">
        <w:rPr>
          <w:rFonts w:ascii="Georgia" w:hAnsi="Georgia" w:cs="Arial"/>
          <w:color w:val="000000"/>
          <w:sz w:val="28"/>
          <w:szCs w:val="28"/>
        </w:rPr>
        <w:tab/>
        <w:t xml:space="preserve">negocios </w:t>
      </w:r>
      <w:r w:rsidRPr="003E689E">
        <w:rPr>
          <w:rFonts w:ascii="Georgia" w:hAnsi="Georgia" w:cs="Arial"/>
          <w:color w:val="000000"/>
          <w:sz w:val="28"/>
          <w:szCs w:val="28"/>
        </w:rPr>
        <w:t xml:space="preserve">inclusivos. </w:t>
      </w:r>
      <w:r w:rsidRPr="003E689E">
        <w:rPr>
          <w:rFonts w:ascii="Georgia" w:hAnsi="Georgia" w:cs="Arial"/>
          <w:color w:val="000000"/>
          <w:sz w:val="28"/>
          <w:szCs w:val="28"/>
        </w:rPr>
        <w:tab/>
        <w:t xml:space="preserve">En este capítulo adoptamos la definición e AVINA según la cual </w:t>
      </w:r>
      <w:r w:rsidRPr="003E689E">
        <w:rPr>
          <w:rFonts w:ascii="Georgia" w:hAnsi="Georgia" w:cs="Arial"/>
          <w:color w:val="535353"/>
          <w:sz w:val="28"/>
          <w:szCs w:val="28"/>
        </w:rPr>
        <w:t>los Negocios Inclusivos son:</w:t>
      </w:r>
    </w:p>
    <w:p w14:paraId="3F991545" w14:textId="77777777" w:rsidR="00B527F1" w:rsidRDefault="00B527F1" w:rsidP="0039185A">
      <w:pPr>
        <w:widowControl w:val="0"/>
        <w:autoSpaceDE w:val="0"/>
        <w:autoSpaceDN w:val="0"/>
        <w:adjustRightInd w:val="0"/>
        <w:spacing w:before="120" w:line="360" w:lineRule="auto"/>
        <w:rPr>
          <w:rFonts w:ascii="Georgia" w:hAnsi="Georgia" w:cs="Arial"/>
          <w:color w:val="535353"/>
          <w:sz w:val="28"/>
          <w:szCs w:val="28"/>
        </w:rPr>
      </w:pPr>
    </w:p>
    <w:p w14:paraId="57F4E768" w14:textId="38679D68" w:rsidR="005F7F2C" w:rsidRDefault="005F7F2C" w:rsidP="005F7F2C">
      <w:pPr>
        <w:widowControl w:val="0"/>
        <w:autoSpaceDE w:val="0"/>
        <w:autoSpaceDN w:val="0"/>
        <w:adjustRightInd w:val="0"/>
        <w:spacing w:before="120" w:line="360" w:lineRule="auto"/>
        <w:rPr>
          <w:rFonts w:ascii="Georgia" w:hAnsi="Georgia" w:cs="Arial"/>
          <w:color w:val="535353"/>
          <w:sz w:val="28"/>
          <w:szCs w:val="28"/>
        </w:rPr>
      </w:pPr>
      <w:r w:rsidRPr="003E689E">
        <w:rPr>
          <w:rFonts w:ascii="Georgia" w:hAnsi="Georgia" w:cs="Arial"/>
          <w:noProof/>
          <w:sz w:val="28"/>
          <w:szCs w:val="28"/>
          <w:lang w:val="en-US"/>
        </w:rPr>
        <w:lastRenderedPageBreak/>
        <w:drawing>
          <wp:anchor distT="0" distB="0" distL="114300" distR="114300" simplePos="0" relativeHeight="251683840" behindDoc="0" locked="0" layoutInCell="1" allowOverlap="1" wp14:anchorId="167166C7" wp14:editId="35271BF0">
            <wp:simplePos x="0" y="0"/>
            <wp:positionH relativeFrom="column">
              <wp:posOffset>0</wp:posOffset>
            </wp:positionH>
            <wp:positionV relativeFrom="paragraph">
              <wp:posOffset>36195</wp:posOffset>
            </wp:positionV>
            <wp:extent cx="5072380" cy="3502660"/>
            <wp:effectExtent l="0" t="0" r="7620" b="2540"/>
            <wp:wrapSquare wrapText="bothSides"/>
            <wp:docPr id="13334" name="Picture 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72380" cy="3502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74DEBC" w14:textId="1481FBFD" w:rsidR="00B70620" w:rsidRPr="003E689E" w:rsidRDefault="00B70620" w:rsidP="00B70620">
      <w:pPr>
        <w:widowControl w:val="0"/>
        <w:autoSpaceDE w:val="0"/>
        <w:autoSpaceDN w:val="0"/>
        <w:adjustRightInd w:val="0"/>
        <w:spacing w:after="280" w:line="360" w:lineRule="auto"/>
        <w:jc w:val="both"/>
        <w:rPr>
          <w:rFonts w:ascii="Georgia" w:hAnsi="Georgia" w:cs="Arial"/>
          <w:color w:val="535353"/>
          <w:sz w:val="28"/>
          <w:szCs w:val="28"/>
        </w:rPr>
      </w:pPr>
      <w:r w:rsidRPr="003E689E">
        <w:rPr>
          <w:rFonts w:ascii="Georgia" w:hAnsi="Georgia" w:cs="Arial"/>
          <w:color w:val="535353"/>
          <w:sz w:val="28"/>
          <w:szCs w:val="28"/>
        </w:rPr>
        <w:t>“Iniciativas empresariales económicamente rentables, y ambiental / socialmente responsables, que en una lógica de mutuo beneficio incorporan en sus cadenas de valor a comunidades de bajos ingresos y mejoran su calidad de vida a través de:</w:t>
      </w:r>
      <w:r w:rsidRPr="003E689E">
        <w:rPr>
          <w:rFonts w:ascii="Georgia" w:eastAsia="MS Gothic" w:hAnsi="Georgia" w:cs="Arial"/>
          <w:color w:val="535353"/>
          <w:sz w:val="28"/>
          <w:szCs w:val="28"/>
        </w:rPr>
        <w:t> </w:t>
      </w:r>
    </w:p>
    <w:p w14:paraId="3791BF78" w14:textId="77777777" w:rsidR="00B70620" w:rsidRPr="003E689E" w:rsidRDefault="00B70620" w:rsidP="00B70620">
      <w:pPr>
        <w:widowControl w:val="0"/>
        <w:autoSpaceDE w:val="0"/>
        <w:autoSpaceDN w:val="0"/>
        <w:adjustRightInd w:val="0"/>
        <w:spacing w:after="280" w:line="360" w:lineRule="auto"/>
        <w:ind w:left="720"/>
        <w:jc w:val="both"/>
        <w:rPr>
          <w:rFonts w:ascii="Georgia" w:hAnsi="Georgia" w:cs="Arial"/>
          <w:color w:val="535353"/>
          <w:sz w:val="28"/>
          <w:szCs w:val="28"/>
        </w:rPr>
      </w:pPr>
      <w:r w:rsidRPr="003E689E">
        <w:rPr>
          <w:rFonts w:ascii="Georgia" w:eastAsia="MS Gothic" w:hAnsi="Georgia" w:cs="Arial"/>
          <w:color w:val="535353"/>
          <w:sz w:val="28"/>
          <w:szCs w:val="28"/>
        </w:rPr>
        <w:t> </w:t>
      </w:r>
      <w:r w:rsidRPr="003E689E">
        <w:rPr>
          <w:rFonts w:ascii="Georgia" w:hAnsi="Georgia" w:cs="Arial"/>
          <w:color w:val="535353"/>
          <w:sz w:val="28"/>
          <w:szCs w:val="28"/>
        </w:rPr>
        <w:t>• su participación en la cadena de valor como agentes que agregan valor a bienes o servicios, proveedores de materia prima, o vendedores/distribuidores de bienes o servicios; y/o</w:t>
      </w:r>
    </w:p>
    <w:p w14:paraId="6D6B2B18" w14:textId="77777777" w:rsidR="00B70620" w:rsidRPr="003E689E" w:rsidRDefault="00B70620" w:rsidP="00B70620">
      <w:pPr>
        <w:widowControl w:val="0"/>
        <w:autoSpaceDE w:val="0"/>
        <w:autoSpaceDN w:val="0"/>
        <w:adjustRightInd w:val="0"/>
        <w:spacing w:after="280" w:line="360" w:lineRule="auto"/>
        <w:ind w:left="720"/>
        <w:jc w:val="both"/>
        <w:rPr>
          <w:rFonts w:ascii="Georgia" w:hAnsi="Georgia" w:cs="Arial"/>
          <w:color w:val="535353"/>
          <w:sz w:val="28"/>
          <w:szCs w:val="28"/>
        </w:rPr>
      </w:pPr>
      <w:r w:rsidRPr="003E689E">
        <w:rPr>
          <w:rFonts w:ascii="Georgia" w:hAnsi="Georgia" w:cs="Arial"/>
          <w:color w:val="535353"/>
          <w:sz w:val="28"/>
          <w:szCs w:val="28"/>
        </w:rPr>
        <w:t>• su acceso a servicios básicos esenciales o necesidades básicas insatisfechas de mejor calidad o a menor precio”.</w:t>
      </w:r>
    </w:p>
    <w:p w14:paraId="58094C50" w14:textId="513BBAE0" w:rsidR="00F343AC" w:rsidRDefault="00B70620" w:rsidP="00B70620">
      <w:pPr>
        <w:widowControl w:val="0"/>
        <w:autoSpaceDE w:val="0"/>
        <w:autoSpaceDN w:val="0"/>
        <w:adjustRightInd w:val="0"/>
        <w:spacing w:after="280" w:line="360" w:lineRule="auto"/>
        <w:jc w:val="both"/>
        <w:rPr>
          <w:rFonts w:ascii="Georgia" w:hAnsi="Georgia" w:cs="Arial"/>
          <w:color w:val="535353"/>
          <w:sz w:val="28"/>
          <w:szCs w:val="28"/>
        </w:rPr>
      </w:pPr>
      <w:r w:rsidRPr="003E689E">
        <w:rPr>
          <w:rFonts w:ascii="Georgia" w:hAnsi="Georgia" w:cs="Arial"/>
          <w:color w:val="535353"/>
          <w:sz w:val="28"/>
          <w:szCs w:val="28"/>
        </w:rPr>
        <w:t>A partir de esta definición, analizamos en las siguientes secciones los beneficios y retos de este tipo de negocios.</w:t>
      </w:r>
    </w:p>
    <w:p w14:paraId="1833A217" w14:textId="77777777" w:rsidR="00F343AC" w:rsidRDefault="00F343AC" w:rsidP="00B70620">
      <w:pPr>
        <w:widowControl w:val="0"/>
        <w:autoSpaceDE w:val="0"/>
        <w:autoSpaceDN w:val="0"/>
        <w:adjustRightInd w:val="0"/>
        <w:spacing w:after="280" w:line="360" w:lineRule="auto"/>
        <w:jc w:val="both"/>
        <w:rPr>
          <w:rFonts w:ascii="Georgia" w:hAnsi="Georgia" w:cs="Arial"/>
          <w:color w:val="535353"/>
          <w:sz w:val="28"/>
          <w:szCs w:val="28"/>
        </w:rPr>
      </w:pPr>
    </w:p>
    <w:p w14:paraId="79DD5EC8" w14:textId="77777777" w:rsidR="00F343AC" w:rsidRDefault="00F343AC" w:rsidP="00F343AC">
      <w:pPr>
        <w:pStyle w:val="NormalWeb"/>
        <w:spacing w:line="360" w:lineRule="auto"/>
        <w:jc w:val="both"/>
        <w:rPr>
          <w:rFonts w:ascii="Georgia" w:hAnsi="Georgia"/>
          <w:b/>
          <w:sz w:val="28"/>
          <w:szCs w:val="28"/>
        </w:rPr>
      </w:pPr>
    </w:p>
    <w:p w14:paraId="3C8A1425" w14:textId="77777777" w:rsidR="00F343AC" w:rsidRDefault="00F343AC" w:rsidP="00F343AC">
      <w:pPr>
        <w:pStyle w:val="NormalWeb"/>
        <w:spacing w:line="360" w:lineRule="auto"/>
        <w:jc w:val="both"/>
        <w:rPr>
          <w:rFonts w:ascii="Georgia" w:hAnsi="Georgia"/>
          <w:b/>
          <w:sz w:val="28"/>
          <w:szCs w:val="28"/>
        </w:rPr>
      </w:pPr>
    </w:p>
    <w:p w14:paraId="6EDEB987" w14:textId="637425DC" w:rsidR="00F343AC" w:rsidRPr="00F343AC" w:rsidRDefault="00F343AC" w:rsidP="00F343AC">
      <w:pPr>
        <w:pStyle w:val="NormalWeb"/>
        <w:pBdr>
          <w:top w:val="single" w:sz="4" w:space="1" w:color="auto"/>
          <w:left w:val="single" w:sz="4" w:space="4" w:color="auto"/>
          <w:bottom w:val="single" w:sz="4" w:space="1" w:color="auto"/>
          <w:right w:val="single" w:sz="4" w:space="4" w:color="auto"/>
        </w:pBdr>
        <w:spacing w:line="360" w:lineRule="auto"/>
        <w:jc w:val="both"/>
        <w:rPr>
          <w:rFonts w:ascii="Georgia" w:hAnsi="Georgia"/>
          <w:b/>
          <w:sz w:val="28"/>
          <w:szCs w:val="28"/>
        </w:rPr>
      </w:pPr>
      <w:r w:rsidRPr="00F343AC">
        <w:rPr>
          <w:rFonts w:ascii="Georgia" w:hAnsi="Georgia"/>
          <w:b/>
          <w:sz w:val="28"/>
          <w:szCs w:val="28"/>
        </w:rPr>
        <w:t xml:space="preserve">Cuadro Resumen: </w:t>
      </w:r>
      <w:r w:rsidRPr="00F343AC">
        <w:rPr>
          <w:rFonts w:ascii="Georgia" w:hAnsi="Georgia"/>
          <w:b/>
          <w:sz w:val="28"/>
          <w:szCs w:val="28"/>
        </w:rPr>
        <w:t>¿Qué son los negocios inclusivos a negocios con la Base de la pirámide?</w:t>
      </w:r>
    </w:p>
    <w:p w14:paraId="71805EEF" w14:textId="77777777" w:rsidR="00F343AC" w:rsidRPr="00F343AC" w:rsidRDefault="00F343AC" w:rsidP="00F343AC">
      <w:pPr>
        <w:pStyle w:val="NormalWeb"/>
        <w:pBdr>
          <w:top w:val="single" w:sz="4" w:space="1" w:color="auto"/>
          <w:left w:val="single" w:sz="4" w:space="4" w:color="auto"/>
          <w:bottom w:val="single" w:sz="4" w:space="1" w:color="auto"/>
          <w:right w:val="single" w:sz="4" w:space="4" w:color="auto"/>
        </w:pBdr>
        <w:spacing w:line="360" w:lineRule="auto"/>
        <w:jc w:val="both"/>
        <w:rPr>
          <w:rFonts w:ascii="Georgia" w:eastAsia="Calibri" w:hAnsi="Georgia"/>
          <w:sz w:val="28"/>
          <w:szCs w:val="28"/>
          <w:lang w:val="es-ES"/>
        </w:rPr>
      </w:pPr>
      <w:r w:rsidRPr="00F343AC">
        <w:rPr>
          <w:rFonts w:ascii="Georgia" w:hAnsi="Georgia"/>
          <w:sz w:val="28"/>
          <w:szCs w:val="28"/>
        </w:rPr>
        <w:t xml:space="preserve">Los modelos de negocios inclusivos incluyen a los pobres  </w:t>
      </w:r>
      <w:r w:rsidRPr="00F343AC">
        <w:rPr>
          <w:rFonts w:ascii="Georgia" w:eastAsia="Calibri" w:hAnsi="Georgia"/>
          <w:sz w:val="28"/>
          <w:szCs w:val="28"/>
          <w:lang w:val="es-ES"/>
        </w:rPr>
        <w:t>omo cliente</w:t>
      </w:r>
      <w:r>
        <w:rPr>
          <w:rFonts w:ascii="Georgia" w:eastAsia="Calibri" w:hAnsi="Georgia"/>
          <w:sz w:val="28"/>
          <w:szCs w:val="28"/>
          <w:lang w:val="es-ES"/>
        </w:rPr>
        <w:t xml:space="preserve">s, por el lado de la demanda y, </w:t>
      </w:r>
      <w:r w:rsidRPr="00F343AC">
        <w:rPr>
          <w:rFonts w:ascii="Georgia" w:hAnsi="Georgia"/>
          <w:sz w:val="28"/>
          <w:szCs w:val="28"/>
        </w:rPr>
        <w:t xml:space="preserve">como empleados, productores y propietarios de negocios en las distintas partes de la cadena de valor, por el lado de la oferta. Estos modelos tienden puentes entre los negocios y los pobres para su beneficio mutuo. </w:t>
      </w:r>
    </w:p>
    <w:p w14:paraId="218B0F82" w14:textId="77777777" w:rsidR="00F343AC" w:rsidRPr="0039185A" w:rsidRDefault="00F343AC" w:rsidP="00B70620">
      <w:pPr>
        <w:widowControl w:val="0"/>
        <w:autoSpaceDE w:val="0"/>
        <w:autoSpaceDN w:val="0"/>
        <w:adjustRightInd w:val="0"/>
        <w:spacing w:after="280" w:line="360" w:lineRule="auto"/>
        <w:jc w:val="both"/>
        <w:rPr>
          <w:rFonts w:ascii="Georgia" w:hAnsi="Georgia" w:cs="Arial"/>
          <w:color w:val="535353"/>
          <w:sz w:val="28"/>
          <w:szCs w:val="28"/>
        </w:rPr>
      </w:pPr>
    </w:p>
    <w:p w14:paraId="7D217A0B" w14:textId="77777777" w:rsidR="002843D3" w:rsidRPr="003E689E" w:rsidRDefault="002843D3" w:rsidP="00B70620">
      <w:pPr>
        <w:widowControl w:val="0"/>
        <w:autoSpaceDE w:val="0"/>
        <w:autoSpaceDN w:val="0"/>
        <w:adjustRightInd w:val="0"/>
        <w:spacing w:after="280" w:line="360" w:lineRule="auto"/>
        <w:jc w:val="both"/>
        <w:rPr>
          <w:rFonts w:ascii="Georgia" w:hAnsi="Georgia" w:cs="Arial"/>
          <w:color w:val="535353"/>
        </w:rPr>
      </w:pPr>
    </w:p>
    <w:p w14:paraId="0853E565" w14:textId="4B4AA915" w:rsidR="002843D3" w:rsidRPr="003E689E" w:rsidRDefault="002843D3" w:rsidP="00B70620">
      <w:pPr>
        <w:pStyle w:val="ebook-T1"/>
        <w:rPr>
          <w:rFonts w:ascii="Georgia" w:hAnsi="Georgia"/>
        </w:rPr>
      </w:pPr>
      <w:r w:rsidRPr="003E689E">
        <w:rPr>
          <w:rFonts w:ascii="Georgia" w:hAnsi="Georgia"/>
          <w:noProof/>
          <w:lang w:val="en-US"/>
        </w:rPr>
        <w:lastRenderedPageBreak/>
        <mc:AlternateContent>
          <mc:Choice Requires="wps">
            <w:drawing>
              <wp:anchor distT="0" distB="0" distL="114300" distR="114300" simplePos="0" relativeHeight="251689984" behindDoc="0" locked="0" layoutInCell="1" allowOverlap="1" wp14:anchorId="0A457315" wp14:editId="2ED8F257">
                <wp:simplePos x="0" y="0"/>
                <wp:positionH relativeFrom="column">
                  <wp:posOffset>-342900</wp:posOffset>
                </wp:positionH>
                <wp:positionV relativeFrom="paragraph">
                  <wp:posOffset>2052955</wp:posOffset>
                </wp:positionV>
                <wp:extent cx="6082030" cy="3771900"/>
                <wp:effectExtent l="0" t="0" r="0" b="12700"/>
                <wp:wrapSquare wrapText="bothSides"/>
                <wp:docPr id="13359" name="Text Box 13359"/>
                <wp:cNvGraphicFramePr/>
                <a:graphic xmlns:a="http://schemas.openxmlformats.org/drawingml/2006/main">
                  <a:graphicData uri="http://schemas.microsoft.com/office/word/2010/wordprocessingShape">
                    <wps:wsp>
                      <wps:cNvSpPr txBox="1"/>
                      <wps:spPr>
                        <a:xfrm>
                          <a:off x="0" y="0"/>
                          <a:ext cx="608203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A81FFA" w14:textId="77777777" w:rsidR="00D41FC4" w:rsidRPr="007F018E" w:rsidRDefault="00D41FC4" w:rsidP="002843D3">
                            <w:pPr>
                              <w:pStyle w:val="ebook-T1"/>
                              <w:jc w:val="center"/>
                              <w:rPr>
                                <w:color w:val="FFFFFF" w:themeColor="background1"/>
                                <w:sz w:val="72"/>
                                <w:szCs w:val="72"/>
                              </w:rPr>
                            </w:pPr>
                            <w:r w:rsidRPr="007F018E">
                              <w:rPr>
                                <w:color w:val="FFFFFF" w:themeColor="background1"/>
                                <w:sz w:val="72"/>
                                <w:szCs w:val="72"/>
                              </w:rPr>
                              <w:t>Los beneficios de los negocios inclusivos para las empresas y para la Base de la Pirámide</w:t>
                            </w:r>
                          </w:p>
                          <w:p w14:paraId="320F097C" w14:textId="77777777" w:rsidR="00D41FC4" w:rsidRPr="007F018E" w:rsidRDefault="00D41FC4" w:rsidP="002843D3">
                            <w:pPr>
                              <w:jc w:val="center"/>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59" o:spid="_x0000_s1029" type="#_x0000_t202" style="position:absolute;margin-left:-26.95pt;margin-top:161.65pt;width:478.9pt;height:2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2H5NcCAAAeBgAADgAAAGRycy9lMm9Eb2MueG1srFRLb9swDL4P2H8QdE9t59E0Rp3CTZFhQLEW&#10;a4eeFVlKjOk1SUmcDfvvo2Q7Tbsd1mEXmyI/UeTHx+VVIwXaMetqrQqcnaUYMUV1Vat1gb88LgcX&#10;GDlPVEWEVqzAB+bw1fz9u8u9ydlQb7SomEXgRLl8bwq88d7kSeLohknizrRhCoxcW0k8HO06qSzZ&#10;g3cpkmGanid7bStjNWXOgfamNeJ59M85o/6Oc8c8EgWG2Hz82vhdhW8yvyT52hKzqWkXBvmHKCSp&#10;FTx6dHVDPEFbW//mStbUaqe5P6NaJprzmrKYA2STpa+yedgQw2IuQI4zR5rc/3NLP+3uLaorqN1o&#10;NJlhpIiEMj2yxqNr3aBWCyztjcsB/GAA7hswwY3AXtA7UIbkG25l+ENaCOzA9+HIcXBIQXmeXgzT&#10;EZgo2EbTaTZLYxWS5+vGOv+BaYmCUGALRYzckt2t8/AkQHtIeE3pZS1ELKRQLxQAbDUsdkJ7m+QQ&#10;CogBGYKKVfqxmEyH5XQyG5yXk2wwztKLQVmmw8HNskzLdLxczMbXPyEKSbJxvod+MdBtgSVgYinI&#10;uqtNMP9dcSShL1o5y5LYRG1+4Djm2YeaPNMcJX8QLCQg1GfGoXyR7aCIg8MWwqIdgZYnlDLlY6Ei&#10;GYAOKA6EveVih4+URSrfcrklv39ZK3+8LGulbSztq7Crr33IvMUDGSd5B9E3qyb27ajvwpWuDtCc&#10;VrdD7gxd1tBAt8T5e2JhqqHpYFP5O/hwofcF1p2E0Ubb73/SBzzUE6wYhaoX2H3bEsswEh8VjOEs&#10;G4/DWomHMfQQHOypZXVqUVu50FCVDHaioVEMeC96kVstn2ChleFVMBFF4e0C+15c+HZ3wUKkrCwj&#10;CBaJIf5WPRgaXIcihfF4bJ6INd0MeWikT7rfJyR/NUotNtxUutx6zes4Z4HnltWOf1hCsS27hRm2&#10;3Ok5op7X+vwXAAAA//8DAFBLAwQUAAYACAAAACEATpd2X94AAAALAQAADwAAAGRycy9kb3ducmV2&#10;LnhtbEyPTU/DMAyG70j8h8hI3LZkCwNamk4IxBXEYJO4ZY3XVjRO1WRr+fd4J7j549Hrx8V68p04&#10;4RDbQAYWcwUCqQqupdrA58fL7B5ETJac7QKhgR+MsC4vLwqbuzDSO542qRYcQjG3BpqU+lzKWDXo&#10;bZyHHol3hzB4m7gdaukGO3K47+RSqVvpbUt8obE9PjVYfW+O3sD29fC1u1Fv9bNf9WOYlCSfSWOu&#10;r6bHBxAJp/QHw1mf1aFkp304kouiMzBb6YxRA3qpNQgmMnWe7LlY3GmQZSH//1D+AgAA//8DAFBL&#10;AQItABQABgAIAAAAIQDkmcPA+wAAAOEBAAATAAAAAAAAAAAAAAAAAAAAAABbQ29udGVudF9UeXBl&#10;c10ueG1sUEsBAi0AFAAGAAgAAAAhACOyauHXAAAAlAEAAAsAAAAAAAAAAAAAAAAALAEAAF9yZWxz&#10;Ly5yZWxzUEsBAi0AFAAGAAgAAAAhAEZNh+TXAgAAHgYAAA4AAAAAAAAAAAAAAAAALAIAAGRycy9l&#10;Mm9Eb2MueG1sUEsBAi0AFAAGAAgAAAAhAE6Xdl/eAAAACwEAAA8AAAAAAAAAAAAAAAAALwUAAGRy&#10;cy9kb3ducmV2LnhtbFBLBQYAAAAABAAEAPMAAAA6BgAAAAA=&#10;" filled="f" stroked="f">
                <v:textbox>
                  <w:txbxContent>
                    <w:p w14:paraId="0FA81FFA" w14:textId="77777777" w:rsidR="00D41FC4" w:rsidRPr="007F018E" w:rsidRDefault="00D41FC4" w:rsidP="002843D3">
                      <w:pPr>
                        <w:pStyle w:val="ebook-T1"/>
                        <w:jc w:val="center"/>
                        <w:rPr>
                          <w:color w:val="FFFFFF" w:themeColor="background1"/>
                          <w:sz w:val="72"/>
                          <w:szCs w:val="72"/>
                        </w:rPr>
                      </w:pPr>
                      <w:r w:rsidRPr="007F018E">
                        <w:rPr>
                          <w:color w:val="FFFFFF" w:themeColor="background1"/>
                          <w:sz w:val="72"/>
                          <w:szCs w:val="72"/>
                        </w:rPr>
                        <w:t>Los beneficios de los negocios inclusivos para las empresas y para la Base de la Pirámide</w:t>
                      </w:r>
                    </w:p>
                    <w:p w14:paraId="320F097C" w14:textId="77777777" w:rsidR="00D41FC4" w:rsidRPr="007F018E" w:rsidRDefault="00D41FC4" w:rsidP="002843D3">
                      <w:pPr>
                        <w:jc w:val="center"/>
                        <w:rPr>
                          <w:color w:val="FFFFFF" w:themeColor="background1"/>
                          <w:sz w:val="72"/>
                          <w:szCs w:val="72"/>
                        </w:rPr>
                      </w:pPr>
                    </w:p>
                  </w:txbxContent>
                </v:textbox>
                <w10:wrap type="square"/>
              </v:shape>
            </w:pict>
          </mc:Fallback>
        </mc:AlternateContent>
      </w:r>
      <w:r w:rsidRPr="003E689E">
        <w:rPr>
          <w:rFonts w:ascii="Georgia" w:hAnsi="Georgia"/>
          <w:noProof/>
          <w:lang w:val="en-US"/>
        </w:rPr>
        <mc:AlternateContent>
          <mc:Choice Requires="wps">
            <w:drawing>
              <wp:anchor distT="0" distB="0" distL="114300" distR="114300" simplePos="0" relativeHeight="251688960" behindDoc="0" locked="0" layoutInCell="1" allowOverlap="1" wp14:anchorId="5FADDA91" wp14:editId="2BA6C505">
                <wp:simplePos x="0" y="0"/>
                <wp:positionH relativeFrom="column">
                  <wp:posOffset>-927735</wp:posOffset>
                </wp:positionH>
                <wp:positionV relativeFrom="paragraph">
                  <wp:posOffset>-1094740</wp:posOffset>
                </wp:positionV>
                <wp:extent cx="7543800" cy="10758805"/>
                <wp:effectExtent l="0" t="0" r="25400" b="36195"/>
                <wp:wrapThrough wrapText="bothSides">
                  <wp:wrapPolygon edited="0">
                    <wp:start x="0" y="0"/>
                    <wp:lineTo x="0" y="21622"/>
                    <wp:lineTo x="21600" y="21622"/>
                    <wp:lineTo x="21600" y="0"/>
                    <wp:lineTo x="0" y="0"/>
                  </wp:wrapPolygon>
                </wp:wrapThrough>
                <wp:docPr id="133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758805"/>
                        </a:xfrm>
                        <a:prstGeom prst="rect">
                          <a:avLst/>
                        </a:prstGeom>
                        <a:solidFill>
                          <a:schemeClr val="tx2"/>
                        </a:solidFill>
                        <a:ln>
                          <a:headEnd/>
                          <a:tailEnd/>
                        </a:ln>
                      </wps:spPr>
                      <wps:style>
                        <a:lnRef idx="2">
                          <a:schemeClr val="accent2">
                            <a:shade val="50000"/>
                          </a:schemeClr>
                        </a:lnRef>
                        <a:fillRef idx="1">
                          <a:schemeClr val="accent2"/>
                        </a:fillRef>
                        <a:effectRef idx="0">
                          <a:schemeClr val="accent2"/>
                        </a:effectRef>
                        <a:fontRef idx="minor">
                          <a:schemeClr val="lt1"/>
                        </a:fontRef>
                      </wps:style>
                      <wps:bodyPr wrap="none"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3pt;margin-top:-86.15pt;width:594pt;height:847.1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S8ykCAACXBAAADgAAAGRycy9lMm9Eb2MueG1srFTbbtswDH0fsH8Q/L7YSZs1MOIUQ7vupduK&#10;dvsAVqJjYbIoSGqc/P0oOXG7CzZgmB8EyyKPzjkkvb7c90bs0AdNtinms6oQaCUpbbdN8fXLzZtV&#10;IUIEq8CQxaY4YCguN69frQdX44I6Mgq9YBAb6sE1RRejq8syyA57CDNyaPmwJd9D5K3flsrDwOi9&#10;KRdV9bYcyCvnSWII/PV6PCw2Gb9tUcbPbRswCtMUzC3m1ef1Ma3lZg311oPrtDzSgH9g0YO2fOkE&#10;dQ0RxJPXv0D1WnoK1MaZpL6kttUSswZWM69+UvPQgcOshc0JbrIp/D9Y+Wl354VWXLuzsyUXy0LP&#10;Zbpn48BuDYrzZNHgQs2RD+7OJ5HB3ZL8FoSlq46j8J33NHQIionNU3z5Q0LaBE4Vj8NHUowOT5Gy&#10;W/vW9wmQfRD7XJTDVBTcRyH548Xy/GxVce0kn82ri+VqVS3zJVCf8p0P8QNSL9JLU3hmn/Fhdxti&#10;4gP1KSTzJ6PVjTYmb1Kr4ZXxYgfcJHG/OIKHl1HGptik8b1VuWkiaDO+M3o6zqKTztGvEA8GU5Kx&#10;99iyxaxlkVnl5n6+EaREG49HHSgciSwrfk5UThyzlAyYkFuWMGHP/4Q9enCMT6mYZ2NKrv6ePGXk&#10;m8nGKbnXlvzvAEwcu4GZjvEnk0ZrUl88kjpwZww8gU1h+RdRCLCyIx5RGf3US9z9WfpxUtN4vdxn&#10;3Of/yeY7AAAA//8DAFBLAwQUAAYACAAAACEA2g3Q6+IAAAAPAQAADwAAAGRycy9kb3ducmV2Lnht&#10;bEyPQU+EMBCF7yb+h2ZMvO0WEJcNUjZqsiYmZtVdDx4LrUCkU9KWBf+9w0lvb2Ze3nyv2M2mZ2ft&#10;fGdRQLyOgGmsreqwEfBx2q+2wHyQqGRvUQv40R525eVFIXNlJ3zX52NoGIWgz6WANoQh59zXrTbS&#10;r+2gkW5f1hkZaHQNV05OFG56nkTRhhvZIX1o5aAfW11/H0cj4HOq7MMhzuoRn/cZf3t5TZ8cF+L6&#10;ar6/Axb0HP7MsOATOpTEVNkRlWe9gFWcbqhMWFSW3ABbPFGa0K4idZuQ4mXB//cofwEAAP//AwBQ&#10;SwECLQAUAAYACAAAACEA5JnDwPsAAADhAQAAEwAAAAAAAAAAAAAAAAAAAAAAW0NvbnRlbnRfVHlw&#10;ZXNdLnhtbFBLAQItABQABgAIAAAAIQAjsmrh1wAAAJQBAAALAAAAAAAAAAAAAAAAACwBAABfcmVs&#10;cy8ucmVsc1BLAQItABQABgAIAAAAIQAn69LzKQIAAJcEAAAOAAAAAAAAAAAAAAAAACwCAABkcnMv&#10;ZTJvRG9jLnhtbFBLAQItABQABgAIAAAAIQDaDdDr4gAAAA8BAAAPAAAAAAAAAAAAAAAAAIEEAABk&#10;cnMvZG93bnJldi54bWxQSwUGAAAAAAQABADzAAAAkAUAAAAA&#10;" fillcolor="#1f497d [3215]" strokecolor="#622423 [1605]" strokeweight="2pt">
                <w10:wrap type="through"/>
              </v:rect>
            </w:pict>
          </mc:Fallback>
        </mc:AlternateContent>
      </w:r>
    </w:p>
    <w:p w14:paraId="00892E7E" w14:textId="77777777" w:rsidR="00B70620" w:rsidRPr="003E689E" w:rsidRDefault="00B70620" w:rsidP="00B70620">
      <w:pPr>
        <w:pStyle w:val="ebook-T1"/>
        <w:rPr>
          <w:rFonts w:ascii="Georgia" w:hAnsi="Georgia"/>
        </w:rPr>
      </w:pPr>
      <w:bookmarkStart w:id="8" w:name="_Toc291670199"/>
      <w:r w:rsidRPr="003E689E">
        <w:rPr>
          <w:rFonts w:ascii="Georgia" w:hAnsi="Georgia"/>
        </w:rPr>
        <w:lastRenderedPageBreak/>
        <w:t>Los beneficios de los negocios inclusivos para las empresas y para la Base de la Pirámide</w:t>
      </w:r>
      <w:bookmarkEnd w:id="8"/>
    </w:p>
    <w:p w14:paraId="29C949AD" w14:textId="77777777" w:rsidR="00B70620" w:rsidRPr="003E689E" w:rsidRDefault="00B70620" w:rsidP="00146075">
      <w:pPr>
        <w:pStyle w:val="ebook-T1"/>
      </w:pPr>
      <w:r w:rsidRPr="003E689E">
        <w:t>¿Por qué se interesan las empresas en la Base de la Pirámide?</w:t>
      </w:r>
    </w:p>
    <w:p w14:paraId="2A1C4AA4" w14:textId="77777777" w:rsidR="00B70620" w:rsidRPr="003E689E" w:rsidRDefault="00B70620" w:rsidP="00B70620">
      <w:pPr>
        <w:pStyle w:val="ebook-T2"/>
        <w:rPr>
          <w:rFonts w:ascii="Georgia" w:hAnsi="Georgia"/>
        </w:rPr>
      </w:pPr>
      <w:bookmarkStart w:id="9" w:name="_Toc291670200"/>
      <w:r w:rsidRPr="003E689E">
        <w:rPr>
          <w:rFonts w:ascii="Georgia" w:hAnsi="Georgia"/>
        </w:rPr>
        <w:t>Los beneficios para las empresas</w:t>
      </w:r>
      <w:bookmarkEnd w:id="9"/>
    </w:p>
    <w:p w14:paraId="1A683DED" w14:textId="77777777" w:rsidR="00B70620" w:rsidRPr="003E689E" w:rsidRDefault="00B70620" w:rsidP="00B70620">
      <w:pPr>
        <w:pStyle w:val="ebook-T3"/>
        <w:rPr>
          <w:rFonts w:ascii="Georgia" w:hAnsi="Georgia"/>
        </w:rPr>
      </w:pPr>
      <w:bookmarkStart w:id="10" w:name="_Toc291670201"/>
      <w:r w:rsidRPr="003E689E">
        <w:rPr>
          <w:rFonts w:ascii="Georgia" w:hAnsi="Georgia"/>
        </w:rPr>
        <w:t>Beneficios de incluir a los pobres en la cadena de valor empresarial como consumidores</w:t>
      </w:r>
      <w:bookmarkEnd w:id="10"/>
    </w:p>
    <w:p w14:paraId="2C1C5BBE" w14:textId="77777777" w:rsidR="00B70620" w:rsidRPr="003E689E" w:rsidRDefault="00B70620" w:rsidP="00B70620">
      <w:pPr>
        <w:widowControl w:val="0"/>
        <w:autoSpaceDE w:val="0"/>
        <w:autoSpaceDN w:val="0"/>
        <w:adjustRightInd w:val="0"/>
        <w:spacing w:after="280" w:line="360" w:lineRule="auto"/>
        <w:jc w:val="both"/>
        <w:rPr>
          <w:rFonts w:ascii="Georgia" w:hAnsi="Georgia" w:cs="Arial"/>
          <w:color w:val="535353"/>
          <w:sz w:val="28"/>
          <w:szCs w:val="28"/>
        </w:rPr>
      </w:pPr>
      <w:r w:rsidRPr="003E689E">
        <w:rPr>
          <w:rFonts w:ascii="Georgia" w:hAnsi="Georgia" w:cs="Arial"/>
          <w:color w:val="535353"/>
          <w:sz w:val="28"/>
          <w:szCs w:val="28"/>
        </w:rPr>
        <w:t>En primer lugar, el cambio de paradigma descrito anteriormente y la toma conciencia de que este sector socioeconómico representa un gran porcentaje de la población  con necesidades de bienes y servicios no cubiertas (</w:t>
      </w:r>
      <w:r w:rsidRPr="003E689E">
        <w:rPr>
          <w:rFonts w:ascii="Georgia" w:hAnsi="Georgia" w:cs="Arial"/>
          <w:b/>
          <w:color w:val="535353"/>
          <w:sz w:val="28"/>
          <w:szCs w:val="28"/>
        </w:rPr>
        <w:t>consumidores potenciales),</w:t>
      </w:r>
      <w:r w:rsidRPr="003E689E">
        <w:rPr>
          <w:rFonts w:ascii="Georgia" w:hAnsi="Georgia" w:cs="Arial"/>
          <w:color w:val="535353"/>
          <w:sz w:val="28"/>
          <w:szCs w:val="28"/>
        </w:rPr>
        <w:t xml:space="preserve"> supone </w:t>
      </w:r>
      <w:r w:rsidRPr="003E689E">
        <w:rPr>
          <w:rFonts w:ascii="Georgia" w:hAnsi="Georgia" w:cs="Arial"/>
          <w:b/>
          <w:color w:val="535353"/>
          <w:sz w:val="28"/>
          <w:szCs w:val="28"/>
        </w:rPr>
        <w:t>una oportunidad para las empresas de crecer y desarrollar nuevos mercados.</w:t>
      </w:r>
      <w:r w:rsidRPr="003E689E">
        <w:rPr>
          <w:rFonts w:ascii="Georgia" w:hAnsi="Georgia" w:cs="Arial"/>
          <w:color w:val="535353"/>
          <w:sz w:val="28"/>
          <w:szCs w:val="28"/>
        </w:rPr>
        <w:t xml:space="preserve"> Una vez que las empresas cambian su perspectiva frente a los sectores excluidos, se abren oportunidades para buscar fórmulas y diseñar productos y servicios que se adapten a las necesidades de estos mercado no cubiertos. </w:t>
      </w:r>
    </w:p>
    <w:p w14:paraId="56F8516A" w14:textId="7BFF2D58" w:rsidR="00B70620" w:rsidRDefault="00B70620" w:rsidP="00B70620">
      <w:pPr>
        <w:widowControl w:val="0"/>
        <w:autoSpaceDE w:val="0"/>
        <w:autoSpaceDN w:val="0"/>
        <w:adjustRightInd w:val="0"/>
        <w:spacing w:after="280" w:line="360" w:lineRule="auto"/>
        <w:jc w:val="both"/>
        <w:rPr>
          <w:rFonts w:ascii="Georgia" w:hAnsi="Georgia" w:cs="Arial"/>
          <w:color w:val="000000"/>
          <w:sz w:val="28"/>
          <w:szCs w:val="28"/>
        </w:rPr>
      </w:pPr>
      <w:r w:rsidRPr="003E689E">
        <w:rPr>
          <w:rFonts w:ascii="Georgia" w:hAnsi="Georgia" w:cs="Arial"/>
          <w:color w:val="535353"/>
          <w:sz w:val="28"/>
          <w:szCs w:val="28"/>
        </w:rPr>
        <w:t xml:space="preserve">En el marco de estos nuevos modelos, las empresa se beneficia doblemente, </w:t>
      </w:r>
      <w:r w:rsidRPr="003E689E">
        <w:rPr>
          <w:rFonts w:ascii="Georgia" w:hAnsi="Georgia" w:cs="Arial"/>
          <w:b/>
          <w:color w:val="535353"/>
          <w:sz w:val="28"/>
          <w:szCs w:val="28"/>
        </w:rPr>
        <w:t>generando rentabilidad</w:t>
      </w:r>
      <w:r w:rsidRPr="003E689E">
        <w:rPr>
          <w:rFonts w:ascii="Georgia" w:hAnsi="Georgia" w:cs="Arial"/>
          <w:color w:val="535353"/>
          <w:sz w:val="28"/>
          <w:szCs w:val="28"/>
        </w:rPr>
        <w:t xml:space="preserve"> y al mismo tiempo fomentando el desarrollo económico para los excluidos, lo que contribuye, a su vez, a mejorar su </w:t>
      </w:r>
      <w:r w:rsidRPr="003E689E">
        <w:rPr>
          <w:rFonts w:ascii="Georgia" w:hAnsi="Georgia" w:cs="Arial"/>
          <w:b/>
          <w:color w:val="535353"/>
          <w:sz w:val="28"/>
          <w:szCs w:val="28"/>
        </w:rPr>
        <w:t>reputación.</w:t>
      </w:r>
      <w:r w:rsidRPr="003E689E">
        <w:rPr>
          <w:rFonts w:ascii="Georgia" w:hAnsi="Georgia" w:cs="Arial"/>
          <w:color w:val="535353"/>
          <w:sz w:val="28"/>
          <w:szCs w:val="28"/>
        </w:rPr>
        <w:t xml:space="preserve"> La búsqueda de soluciones creativas para desarrollar productos y servicios que se adapten a nuevos mercados también impulsa la </w:t>
      </w:r>
      <w:r w:rsidRPr="003E689E">
        <w:rPr>
          <w:rFonts w:ascii="Georgia" w:hAnsi="Georgia" w:cs="Arial"/>
          <w:b/>
          <w:color w:val="535353"/>
          <w:sz w:val="28"/>
          <w:szCs w:val="28"/>
        </w:rPr>
        <w:t xml:space="preserve">capacidad de </w:t>
      </w:r>
      <w:r w:rsidRPr="003E689E">
        <w:rPr>
          <w:rFonts w:ascii="Georgia" w:hAnsi="Georgia" w:cs="Arial"/>
          <w:b/>
          <w:color w:val="535353"/>
          <w:sz w:val="28"/>
          <w:szCs w:val="28"/>
        </w:rPr>
        <w:lastRenderedPageBreak/>
        <w:t>innovar</w:t>
      </w:r>
      <w:r w:rsidRPr="003E689E">
        <w:rPr>
          <w:rFonts w:ascii="Georgia" w:hAnsi="Georgia" w:cs="Arial"/>
          <w:color w:val="535353"/>
          <w:sz w:val="28"/>
          <w:szCs w:val="28"/>
        </w:rPr>
        <w:t xml:space="preserve"> de la empresa.</w:t>
      </w:r>
      <w:r w:rsidRPr="003E689E">
        <w:rPr>
          <w:rFonts w:ascii="Georgia" w:hAnsi="Georgia" w:cs="Arial"/>
          <w:color w:val="000000"/>
          <w:sz w:val="28"/>
          <w:szCs w:val="28"/>
        </w:rPr>
        <w:t xml:space="preserve"> Por ejemplo, la multinacional de telecomunicaciones Motorola ha desarrollado un micro-teléfono según las características y las necesidades de un segmento de la población de bajos ingresos en India. El precio del teléfono es 30 dólares y fue desarrollado para poder dar instrucciones al usuario por medio de audio en lugar de texto, en el caso de que el usuario no sepa leer y escribir. Además, la pantalla es reflectante para que se pueda usar sin problemas en exteriores, y la batería tiene un tiempo de reserva de dos semanas (Hammond et al., 2007).</w:t>
      </w:r>
    </w:p>
    <w:p w14:paraId="28BA7533" w14:textId="0443F7D8" w:rsidR="006D7ABD" w:rsidRDefault="006D7ABD" w:rsidP="00B70620">
      <w:pPr>
        <w:widowControl w:val="0"/>
        <w:autoSpaceDE w:val="0"/>
        <w:autoSpaceDN w:val="0"/>
        <w:adjustRightInd w:val="0"/>
        <w:spacing w:after="280" w:line="360" w:lineRule="auto"/>
        <w:jc w:val="both"/>
        <w:rPr>
          <w:rFonts w:ascii="Georgia" w:hAnsi="Georgia" w:cs="Arial"/>
          <w:color w:val="000000"/>
          <w:sz w:val="28"/>
          <w:szCs w:val="28"/>
        </w:rPr>
      </w:pPr>
      <w:r w:rsidRPr="003E689E">
        <w:rPr>
          <w:rFonts w:ascii="Georgia" w:hAnsi="Georgia" w:cs="Arial"/>
          <w:noProof/>
          <w:color w:val="000000"/>
          <w:sz w:val="28"/>
          <w:szCs w:val="28"/>
          <w:lang w:val="en-US"/>
        </w:rPr>
        <w:drawing>
          <wp:anchor distT="0" distB="0" distL="114300" distR="114300" simplePos="0" relativeHeight="251701248" behindDoc="0" locked="0" layoutInCell="1" allowOverlap="1" wp14:anchorId="4E0608C9" wp14:editId="78F6C6CB">
            <wp:simplePos x="0" y="0"/>
            <wp:positionH relativeFrom="column">
              <wp:posOffset>0</wp:posOffset>
            </wp:positionH>
            <wp:positionV relativeFrom="paragraph">
              <wp:posOffset>245745</wp:posOffset>
            </wp:positionV>
            <wp:extent cx="5234940" cy="2993390"/>
            <wp:effectExtent l="0" t="0" r="0" b="3810"/>
            <wp:wrapSquare wrapText="bothSides"/>
            <wp:docPr id="133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34940" cy="2993390"/>
                    </a:xfrm>
                    <a:prstGeom prst="rect">
                      <a:avLst/>
                    </a:prstGeom>
                    <a:noFill/>
                  </pic:spPr>
                </pic:pic>
              </a:graphicData>
            </a:graphic>
            <wp14:sizeRelH relativeFrom="margin">
              <wp14:pctWidth>0</wp14:pctWidth>
            </wp14:sizeRelH>
            <wp14:sizeRelV relativeFrom="margin">
              <wp14:pctHeight>0</wp14:pctHeight>
            </wp14:sizeRelV>
          </wp:anchor>
        </w:drawing>
      </w:r>
    </w:p>
    <w:p w14:paraId="0F583959" w14:textId="77777777" w:rsidR="00B70620" w:rsidRPr="003E689E" w:rsidRDefault="00B70620" w:rsidP="00EC4C92">
      <w:pPr>
        <w:pStyle w:val="ebook-T3"/>
        <w:rPr>
          <w:color w:val="535353"/>
        </w:rPr>
      </w:pPr>
      <w:bookmarkStart w:id="11" w:name="_Toc291670202"/>
      <w:r w:rsidRPr="003E689E">
        <w:t>Beneficios de incluir a los pobres en la cadena de valor como proveedores, vendedores o distribuidores</w:t>
      </w:r>
      <w:bookmarkEnd w:id="11"/>
    </w:p>
    <w:p w14:paraId="469CC16E"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535353"/>
          <w:sz w:val="28"/>
          <w:szCs w:val="28"/>
        </w:rPr>
      </w:pPr>
      <w:r w:rsidRPr="003E689E">
        <w:rPr>
          <w:rFonts w:ascii="Georgia" w:hAnsi="Georgia" w:cs="Arial"/>
          <w:color w:val="535353"/>
          <w:sz w:val="28"/>
          <w:szCs w:val="28"/>
        </w:rPr>
        <w:t xml:space="preserve">En segundo lugar, el otro cambio de paradigma, el que supone una visión de los pobres como posibles agentes que agregan valor, en tanto que proveedores de materia prima, o </w:t>
      </w:r>
      <w:r w:rsidRPr="003E689E">
        <w:rPr>
          <w:rFonts w:ascii="Georgia" w:hAnsi="Georgia" w:cs="Arial"/>
          <w:color w:val="535353"/>
          <w:sz w:val="28"/>
          <w:szCs w:val="28"/>
        </w:rPr>
        <w:lastRenderedPageBreak/>
        <w:t xml:space="preserve">vendedores/distribuidores de bienes o servicios, también aporta beneficios a las empresas. </w:t>
      </w:r>
    </w:p>
    <w:p w14:paraId="06B57859"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535353"/>
          <w:sz w:val="28"/>
          <w:szCs w:val="28"/>
        </w:rPr>
        <w:t xml:space="preserve">Este nuevo enfoque permite </w:t>
      </w:r>
      <w:r w:rsidRPr="003E689E">
        <w:rPr>
          <w:rFonts w:ascii="Georgia" w:hAnsi="Georgia" w:cs="Arial"/>
          <w:b/>
          <w:color w:val="535353"/>
          <w:sz w:val="28"/>
          <w:szCs w:val="28"/>
        </w:rPr>
        <w:t xml:space="preserve">aumentar </w:t>
      </w:r>
      <w:r w:rsidRPr="003E689E">
        <w:rPr>
          <w:rFonts w:ascii="Georgia" w:hAnsi="Georgia" w:cs="Arial"/>
          <w:b/>
          <w:color w:val="000000"/>
          <w:sz w:val="28"/>
          <w:szCs w:val="28"/>
        </w:rPr>
        <w:t>la fiabilidad en la cadena de valor</w:t>
      </w:r>
      <w:r w:rsidRPr="003E689E">
        <w:rPr>
          <w:rFonts w:ascii="Georgia" w:hAnsi="Georgia" w:cs="Arial"/>
          <w:color w:val="000000"/>
          <w:sz w:val="28"/>
          <w:szCs w:val="28"/>
        </w:rPr>
        <w:t xml:space="preserve"> ampliando las posibilidades de reducir costes y mejorar la flexibilidad  y  el desarrollo de las propias empresas en los países en desarrollo. Además,  en  muchos casos, los negocios inclusivos permiten </w:t>
      </w:r>
      <w:r w:rsidRPr="003E689E">
        <w:rPr>
          <w:rFonts w:ascii="Georgia" w:hAnsi="Georgia" w:cs="Arial"/>
          <w:b/>
          <w:color w:val="000000"/>
          <w:sz w:val="28"/>
          <w:szCs w:val="28"/>
        </w:rPr>
        <w:t>mejorar los canales de distribución</w:t>
      </w:r>
      <w:r w:rsidRPr="003E689E">
        <w:rPr>
          <w:rFonts w:ascii="Georgia" w:hAnsi="Georgia" w:cs="Arial"/>
          <w:color w:val="000000"/>
          <w:sz w:val="28"/>
          <w:szCs w:val="28"/>
        </w:rPr>
        <w:t>, aportando nuevos modelos de entrega de productos y servicios en los que la población de bajos ingresos se sienten incluidos.</w:t>
      </w:r>
    </w:p>
    <w:p w14:paraId="7AD6AA92" w14:textId="77777777" w:rsidR="00B70620" w:rsidRPr="003E689E" w:rsidRDefault="00B70620" w:rsidP="00B70620">
      <w:pPr>
        <w:pStyle w:val="ebook-T2"/>
        <w:rPr>
          <w:rFonts w:ascii="Georgia" w:hAnsi="Georgia"/>
        </w:rPr>
      </w:pPr>
      <w:bookmarkStart w:id="12" w:name="_Toc291670203"/>
      <w:r w:rsidRPr="003E689E">
        <w:rPr>
          <w:rFonts w:ascii="Georgia" w:hAnsi="Georgia"/>
        </w:rPr>
        <w:t>Los beneficios para la Base de la Pirámide</w:t>
      </w:r>
      <w:bookmarkEnd w:id="12"/>
    </w:p>
    <w:p w14:paraId="686ED0AE" w14:textId="289A7FAC"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b/>
          <w:color w:val="000000"/>
          <w:sz w:val="28"/>
          <w:szCs w:val="28"/>
        </w:rPr>
        <w:t xml:space="preserve">Al diseñar productos y servicios a adaptados a las necesidades de la Base de la Pirámide los </w:t>
      </w:r>
      <w:r w:rsidRPr="003E689E">
        <w:rPr>
          <w:rFonts w:ascii="Georgia" w:hAnsi="Georgia" w:cs="Arial"/>
          <w:color w:val="000000"/>
          <w:sz w:val="28"/>
          <w:szCs w:val="28"/>
        </w:rPr>
        <w:t xml:space="preserve"> negocios inclusivos pueden ayudar a la población de bajos ingresos a satisfacer sus necesidades básicas de alimentos, suministros de salud, agua, saneamiento y vivienda, mejorando su acceso a estos productos o servicios</w:t>
      </w:r>
    </w:p>
    <w:p w14:paraId="62CABD2D" w14:textId="77777777" w:rsidR="006D7ABD"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noProof/>
          <w:color w:val="000000"/>
          <w:sz w:val="28"/>
          <w:szCs w:val="28"/>
          <w:lang w:val="en-US"/>
        </w:rPr>
        <w:drawing>
          <wp:inline distT="0" distB="0" distL="0" distR="0" wp14:anchorId="03EA8A7D" wp14:editId="18CF2E34">
            <wp:extent cx="5332883" cy="3082362"/>
            <wp:effectExtent l="0" t="0" r="1270" b="0"/>
            <wp:docPr id="133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350851" cy="3092747"/>
                    </a:xfrm>
                    <a:prstGeom prst="rect">
                      <a:avLst/>
                    </a:prstGeom>
                    <a:noFill/>
                  </pic:spPr>
                </pic:pic>
              </a:graphicData>
            </a:graphic>
          </wp:inline>
        </w:drawing>
      </w:r>
    </w:p>
    <w:p w14:paraId="7E48A43C" w14:textId="16C8636F"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lastRenderedPageBreak/>
        <w:t xml:space="preserve">Una vez incluidos en la cadena de valor, los pobres suelen </w:t>
      </w:r>
      <w:r w:rsidRPr="003E689E">
        <w:rPr>
          <w:rFonts w:ascii="Georgia" w:hAnsi="Georgia" w:cs="Arial"/>
          <w:b/>
          <w:color w:val="000000"/>
          <w:sz w:val="28"/>
          <w:szCs w:val="28"/>
        </w:rPr>
        <w:t xml:space="preserve">incrementar su productividad </w:t>
      </w:r>
      <w:r w:rsidRPr="003E689E">
        <w:rPr>
          <w:rFonts w:ascii="Georgia" w:hAnsi="Georgia" w:cs="Arial"/>
          <w:color w:val="000000"/>
          <w:sz w:val="28"/>
          <w:szCs w:val="28"/>
        </w:rPr>
        <w:t xml:space="preserve">a través del acceso a equipamiento de producción, servicios financieros, tecnologías de la información y  a las comunicaciones, entre otros. Otro efecto importante es la </w:t>
      </w:r>
      <w:r w:rsidRPr="003E689E">
        <w:rPr>
          <w:rFonts w:ascii="Georgia" w:hAnsi="Georgia" w:cs="Arial"/>
          <w:b/>
          <w:color w:val="000000"/>
          <w:sz w:val="28"/>
          <w:szCs w:val="28"/>
        </w:rPr>
        <w:t>mejora de capacidades.</w:t>
      </w:r>
      <w:r w:rsidRPr="003E689E">
        <w:rPr>
          <w:rFonts w:ascii="Georgia" w:hAnsi="Georgia" w:cs="Arial"/>
          <w:color w:val="000000"/>
          <w:sz w:val="28"/>
          <w:szCs w:val="28"/>
        </w:rPr>
        <w:t xml:space="preserve"> En este sentido, los pobres suelen carecer de capacidades de gestión y organización y de acceso a la tecnología, lo que les deja frecuentemente en una situación de desventaja competitiva en el mercado. Los negocios inclusivos aportan soluciones desarrollando las capacidades de los pobres.</w:t>
      </w:r>
    </w:p>
    <w:p w14:paraId="43D189C2" w14:textId="77777777" w:rsidR="00B70620"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 xml:space="preserve">El aumento de la productividad y mejora de sus capacidades y las nuevas oportunidades económicas que se les presentan, ya sea como empleados, proveedores, distribuidores o socios de las empresas les permite también </w:t>
      </w:r>
      <w:r w:rsidRPr="003E689E">
        <w:rPr>
          <w:rFonts w:ascii="Georgia" w:hAnsi="Georgia" w:cs="Arial"/>
          <w:b/>
          <w:color w:val="000000"/>
          <w:sz w:val="28"/>
          <w:szCs w:val="28"/>
        </w:rPr>
        <w:t>aumentar sus ingresos y salir en muchos casos de su situación de exclusión y pobreza</w:t>
      </w:r>
      <w:r w:rsidRPr="003E689E">
        <w:rPr>
          <w:rFonts w:ascii="Georgia" w:hAnsi="Georgia" w:cs="Arial"/>
          <w:color w:val="000000"/>
          <w:sz w:val="28"/>
          <w:szCs w:val="28"/>
        </w:rPr>
        <w:t>.</w:t>
      </w:r>
    </w:p>
    <w:p w14:paraId="16878738" w14:textId="7511E966" w:rsidR="00F343AC" w:rsidRPr="00F343AC" w:rsidRDefault="00F343AC" w:rsidP="00F343AC">
      <w:pPr>
        <w:pStyle w:val="NormalWeb"/>
        <w:pBdr>
          <w:top w:val="single" w:sz="4" w:space="1" w:color="auto"/>
          <w:left w:val="single" w:sz="4" w:space="4" w:color="auto"/>
          <w:bottom w:val="single" w:sz="4" w:space="1" w:color="auto"/>
          <w:right w:val="single" w:sz="4" w:space="4" w:color="auto"/>
        </w:pBdr>
        <w:spacing w:line="360" w:lineRule="auto"/>
        <w:jc w:val="both"/>
        <w:rPr>
          <w:rFonts w:ascii="Georgia" w:eastAsia="Calibri" w:hAnsi="Georgia"/>
          <w:b/>
          <w:sz w:val="28"/>
          <w:szCs w:val="28"/>
          <w:lang w:val="es-ES"/>
        </w:rPr>
      </w:pPr>
      <w:r w:rsidRPr="00F343AC">
        <w:rPr>
          <w:rFonts w:ascii="Georgia" w:hAnsi="Georgia"/>
          <w:b/>
          <w:sz w:val="28"/>
          <w:szCs w:val="28"/>
        </w:rPr>
        <w:t>Cuadro resumen:</w:t>
      </w:r>
      <w:r w:rsidRPr="00F343AC">
        <w:rPr>
          <w:rFonts w:ascii="Georgia" w:hAnsi="Georgia"/>
          <w:b/>
          <w:sz w:val="28"/>
          <w:szCs w:val="28"/>
        </w:rPr>
        <w:t xml:space="preserve"> Los beneficios de los modelos innovadores con la Base de la Pirámide</w:t>
      </w:r>
    </w:p>
    <w:p w14:paraId="685B389F" w14:textId="77777777" w:rsidR="00F343AC" w:rsidRPr="00F343AC" w:rsidRDefault="00F343AC" w:rsidP="00F343AC">
      <w:pPr>
        <w:pBdr>
          <w:top w:val="single" w:sz="4" w:space="1" w:color="auto"/>
          <w:left w:val="single" w:sz="4" w:space="4" w:color="auto"/>
          <w:bottom w:val="single" w:sz="4" w:space="1" w:color="auto"/>
          <w:right w:val="single" w:sz="4" w:space="4" w:color="auto"/>
        </w:pBdr>
        <w:spacing w:before="100" w:beforeAutospacing="1" w:after="100" w:afterAutospacing="1" w:line="360" w:lineRule="auto"/>
        <w:jc w:val="both"/>
        <w:rPr>
          <w:rFonts w:ascii="Times" w:hAnsi="Times"/>
          <w:sz w:val="28"/>
          <w:szCs w:val="28"/>
        </w:rPr>
      </w:pPr>
      <w:r w:rsidRPr="00F343AC">
        <w:rPr>
          <w:rFonts w:ascii="Georgia" w:hAnsi="Georgia"/>
          <w:sz w:val="28"/>
          <w:szCs w:val="28"/>
        </w:rPr>
        <w:t>Los beneficios de modelos de negocios inclusivos trascienden los beneficios inmediatos</w:t>
      </w:r>
      <w:r w:rsidRPr="00F343AC">
        <w:rPr>
          <w:rFonts w:ascii="MyriadMM.565.600" w:hAnsi="MyriadMM.565.600"/>
          <w:sz w:val="28"/>
          <w:szCs w:val="28"/>
        </w:rPr>
        <w:t xml:space="preserve"> y los mayores ingresos. En el caso de los negocios, incluyen el estímulo a las innovaciones, la creación de mercados y el fortalecimiento de las cadenas de proveedores. Y, para los pobres, generan</w:t>
      </w:r>
      <w:r w:rsidRPr="00F343AC">
        <w:rPr>
          <w:rFonts w:ascii="MyriadMM.565.600" w:hAnsi="MyriadMM.565.600"/>
          <w:sz w:val="28"/>
          <w:szCs w:val="28"/>
        </w:rPr>
        <w:br/>
        <w:t xml:space="preserve">mayor productividad, ingresos sostenibles y mayor empoderamiento. </w:t>
      </w:r>
    </w:p>
    <w:p w14:paraId="7B7D0A2C" w14:textId="77777777" w:rsidR="00F343AC" w:rsidRPr="003E689E" w:rsidRDefault="00F343AC" w:rsidP="00F343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p>
    <w:p w14:paraId="53D5D1CA" w14:textId="595948A7" w:rsidR="002843D3" w:rsidRPr="003E689E" w:rsidRDefault="003C260D" w:rsidP="00B70620">
      <w:pPr>
        <w:pStyle w:val="ebook-T1"/>
        <w:rPr>
          <w:rFonts w:ascii="Georgia" w:hAnsi="Georgia"/>
        </w:rPr>
      </w:pPr>
      <w:r w:rsidRPr="003E689E">
        <w:rPr>
          <w:rFonts w:ascii="Georgia" w:hAnsi="Georgia"/>
          <w:noProof/>
          <w:lang w:val="en-US"/>
        </w:rPr>
        <w:lastRenderedPageBreak/>
        <mc:AlternateContent>
          <mc:Choice Requires="wps">
            <w:drawing>
              <wp:anchor distT="0" distB="0" distL="114300" distR="114300" simplePos="0" relativeHeight="251693056" behindDoc="0" locked="0" layoutInCell="1" allowOverlap="1" wp14:anchorId="5145024A" wp14:editId="03F45546">
                <wp:simplePos x="0" y="0"/>
                <wp:positionH relativeFrom="column">
                  <wp:posOffset>-228600</wp:posOffset>
                </wp:positionH>
                <wp:positionV relativeFrom="paragraph">
                  <wp:posOffset>2167255</wp:posOffset>
                </wp:positionV>
                <wp:extent cx="5943600" cy="8343900"/>
                <wp:effectExtent l="0" t="0" r="0" b="12700"/>
                <wp:wrapSquare wrapText="bothSides"/>
                <wp:docPr id="13361" name="Text Box 13361"/>
                <wp:cNvGraphicFramePr/>
                <a:graphic xmlns:a="http://schemas.openxmlformats.org/drawingml/2006/main">
                  <a:graphicData uri="http://schemas.microsoft.com/office/word/2010/wordprocessingShape">
                    <wps:wsp>
                      <wps:cNvSpPr txBox="1"/>
                      <wps:spPr>
                        <a:xfrm>
                          <a:off x="0" y="0"/>
                          <a:ext cx="5943600" cy="8343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926544" w14:textId="02D615DD" w:rsidR="00D41FC4" w:rsidRPr="006056CC" w:rsidRDefault="00D41FC4" w:rsidP="006056CC">
                            <w:pPr>
                              <w:pStyle w:val="ebook-T1"/>
                              <w:jc w:val="center"/>
                              <w:rPr>
                                <w:color w:val="FFFFFF" w:themeColor="background1"/>
                                <w:sz w:val="96"/>
                                <w:szCs w:val="96"/>
                              </w:rPr>
                            </w:pPr>
                            <w:r w:rsidRPr="006056CC">
                              <w:rPr>
                                <w:color w:val="FFFFFF" w:themeColor="background1"/>
                                <w:sz w:val="96"/>
                                <w:szCs w:val="96"/>
                              </w:rPr>
                              <w:t>Los Retos y algunas propuestas para superarlos</w:t>
                            </w:r>
                          </w:p>
                          <w:p w14:paraId="2304F1BF" w14:textId="77777777" w:rsidR="00D41FC4" w:rsidRPr="007F018E" w:rsidRDefault="00D41FC4" w:rsidP="003C260D">
                            <w:pPr>
                              <w:jc w:val="center"/>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61" o:spid="_x0000_s1030" type="#_x0000_t202" style="position:absolute;margin-left:-17.95pt;margin-top:170.65pt;width:468pt;height:6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SntUCAAAeBgAADgAAAGRycy9lMm9Eb2MueG1srFTBbtswDL0P2D8Yuqe2EydrjDqFmyLDgKIt&#10;1g49K7KcGLMlTVISZ8P+fU9ynKbdDuuwi02RFEU+PvLism3qYMu1qaTISHwWkYALJotKrDLy5XEx&#10;OCeBsVQUtJaCZ2TPDbmcvX93sVMpH8q1rAuuAwQRJt2pjKytVWkYGrbmDTVnUnEBYyl1Qy2OehUW&#10;mu4QvanDYRRNwp3UhdKScWOgve6MZObjlyVn9q4sDbdBnRHkZv1X++/SfcPZBU1Xmqp1xQ5p0H/I&#10;oqGVwKPHUNfU0mCjq99CNRXT0sjSnjHZhLIsK8Z9Dagmjl5V87CmivtaAI5RR5jM/wvLbrf3OqgK&#10;9G40msQkELRBmx55a4Mr2QadFijtlEnh/KDgbluYcMOh5/QGSld8W+rG/VFWADvw3h8xdgEZlONp&#10;MppEMDHYzkfJaIoD4oTP15U29iOXTeCEjGg00WNLtzfGdq69i3tNyEVV19DTtBYvFIjZabhnQneb&#10;pkgFovN0Sfku/ZiPPwzzD+PpYJKP40ESR+eDPI+Gg+tFHuVRsphPk6ufyKKhcZLuwBcFtjmUgMSi&#10;pqtDb5z575rTUPaCynEcehJ19SGwh6RPNXyG2Ut2X/Ou4M+8RPs82k7hB4fPax1sKShPGePC+kZ5&#10;MODtvEoA9paLB38PmYfyLZc78PuXpbDHy00lpPatfZV28bVPuez8AcZJ3U607bL1vE16Fi5lsQc5&#10;teyG3Ci2qECgG2rsPdWYapAOm8re4VPWcpcReZBIsJb6+5/0zh/9hJUErusZMd82VHMS1J8ExnAa&#10;J4lbK/6QgEM46FPL8tQiNs1coisYM2TnRedv614stWyesNBy9ypMVDC8nRHbi3Pb7S4sRMbz3Dth&#10;kShqb8SDYi60a5Ibj8f2iWp1mCELIt3Kfp/Q9NUodb7uppD5xsqy8nPmcO5QPeCPJeRpeViYbsud&#10;nr3X81qf/QIAAP//AwBQSwMEFAAGAAgAAAAhAD2dNRXfAAAADAEAAA8AAABkcnMvZG93bnJldi54&#10;bWxMj8FOwzAQRO9I/IO1SNxaO6SpSIhTIRBXEAUq9ebG2yQiXkex24S/ZznR42qeZt6Wm9n14oxj&#10;6DxpSJYKBFLtbUeNhs+Pl8U9iBANWdN7Qg0/GGBTXV+VprB+onc8b2MjuIRCYTS0MQ6FlKFu0Zmw&#10;9AMSZ0c/OhP5HBtpRzNxuevlnVJr6UxHvNCaAZ9arL+3J6fh6/W4363UW/PssmHys5Lkcqn17c38&#10;+AAi4hz/YfjTZ3Wo2OngT2SD6DUs0ixnVEO6SlIQTORKJSAOjK6zLAVZlfLyieoXAAD//wMAUEsB&#10;Ai0AFAAGAAgAAAAhAOSZw8D7AAAA4QEAABMAAAAAAAAAAAAAAAAAAAAAAFtDb250ZW50X1R5cGVz&#10;XS54bWxQSwECLQAUAAYACAAAACEAI7Jq4dcAAACUAQAACwAAAAAAAAAAAAAAAAAsAQAAX3JlbHMv&#10;LnJlbHNQSwECLQAUAAYACAAAACEAAu/SntUCAAAeBgAADgAAAAAAAAAAAAAAAAAsAgAAZHJzL2Uy&#10;b0RvYy54bWxQSwECLQAUAAYACAAAACEAPZ01Fd8AAAAMAQAADwAAAAAAAAAAAAAAAAAtBQAAZHJz&#10;L2Rvd25yZXYueG1sUEsFBgAAAAAEAAQA8wAAADkGAAAAAA==&#10;" filled="f" stroked="f">
                <v:textbox>
                  <w:txbxContent>
                    <w:p w14:paraId="56926544" w14:textId="02D615DD" w:rsidR="00D41FC4" w:rsidRPr="006056CC" w:rsidRDefault="00D41FC4" w:rsidP="006056CC">
                      <w:pPr>
                        <w:pStyle w:val="ebook-T1"/>
                        <w:jc w:val="center"/>
                        <w:rPr>
                          <w:color w:val="FFFFFF" w:themeColor="background1"/>
                          <w:sz w:val="96"/>
                          <w:szCs w:val="96"/>
                        </w:rPr>
                      </w:pPr>
                      <w:r w:rsidRPr="006056CC">
                        <w:rPr>
                          <w:color w:val="FFFFFF" w:themeColor="background1"/>
                          <w:sz w:val="96"/>
                          <w:szCs w:val="96"/>
                        </w:rPr>
                        <w:t>Los Retos y algunas propuestas para superarlos</w:t>
                      </w:r>
                    </w:p>
                    <w:p w14:paraId="2304F1BF" w14:textId="77777777" w:rsidR="00D41FC4" w:rsidRPr="007F018E" w:rsidRDefault="00D41FC4" w:rsidP="003C260D">
                      <w:pPr>
                        <w:jc w:val="center"/>
                        <w:rPr>
                          <w:color w:val="FFFFFF" w:themeColor="background1"/>
                          <w:sz w:val="72"/>
                          <w:szCs w:val="72"/>
                        </w:rPr>
                      </w:pPr>
                    </w:p>
                  </w:txbxContent>
                </v:textbox>
                <w10:wrap type="square"/>
              </v:shape>
            </w:pict>
          </mc:Fallback>
        </mc:AlternateContent>
      </w:r>
      <w:r w:rsidR="002843D3" w:rsidRPr="003E689E">
        <w:rPr>
          <w:rFonts w:ascii="Georgia" w:hAnsi="Georgia"/>
          <w:noProof/>
          <w:lang w:val="en-US"/>
        </w:rPr>
        <mc:AlternateContent>
          <mc:Choice Requires="wps">
            <w:drawing>
              <wp:anchor distT="0" distB="0" distL="114300" distR="114300" simplePos="0" relativeHeight="251692032" behindDoc="0" locked="0" layoutInCell="1" allowOverlap="1" wp14:anchorId="73E2E7E0" wp14:editId="3D35234F">
                <wp:simplePos x="0" y="0"/>
                <wp:positionH relativeFrom="column">
                  <wp:posOffset>-927735</wp:posOffset>
                </wp:positionH>
                <wp:positionV relativeFrom="paragraph">
                  <wp:posOffset>-1094740</wp:posOffset>
                </wp:positionV>
                <wp:extent cx="7543800" cy="10758805"/>
                <wp:effectExtent l="0" t="0" r="25400" b="36195"/>
                <wp:wrapThrough wrapText="bothSides">
                  <wp:wrapPolygon edited="0">
                    <wp:start x="0" y="0"/>
                    <wp:lineTo x="0" y="21622"/>
                    <wp:lineTo x="21600" y="21622"/>
                    <wp:lineTo x="21600" y="0"/>
                    <wp:lineTo x="0" y="0"/>
                  </wp:wrapPolygon>
                </wp:wrapThrough>
                <wp:docPr id="133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758805"/>
                        </a:xfrm>
                        <a:prstGeom prst="rect">
                          <a:avLst/>
                        </a:prstGeom>
                        <a:solidFill>
                          <a:schemeClr val="accent3"/>
                        </a:solidFill>
                        <a:ln>
                          <a:headEnd/>
                          <a:tailEnd/>
                        </a:ln>
                      </wps:spPr>
                      <wps:style>
                        <a:lnRef idx="2">
                          <a:schemeClr val="accent2">
                            <a:shade val="50000"/>
                          </a:schemeClr>
                        </a:lnRef>
                        <a:fillRef idx="1">
                          <a:schemeClr val="accent2"/>
                        </a:fillRef>
                        <a:effectRef idx="0">
                          <a:schemeClr val="accent2"/>
                        </a:effectRef>
                        <a:fontRef idx="minor">
                          <a:schemeClr val="lt1"/>
                        </a:fontRef>
                      </wps:style>
                      <wps:bodyPr wrap="none"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3pt;margin-top:-86.15pt;width:594pt;height:847.1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vERycCAACbBAAADgAAAGRycy9lMm9Eb2MueG1srFTBbtswDL0P2D8Ivq92mqYNjDrF0K67dFvR&#10;bh/ASHQsTBYFSY2Tvx8lJ27XDRswzAfBssjH955IX17teiO26IMm2xSzk6oQaCUpbTdN8e3r7btl&#10;IUIEq8CQxabYYyiuVm/fXA6uxlPqyCj0gkFsqAfXFF2Mri7LIDvsIZyQQ8uHLfkeIm/9plQeBkbv&#10;TXlaVeflQF45TxJD4K8342GxyvhtizJ+aduAUZimYG4xrz6v67SWq0uoNx5cp+WBBvwDix605aIT&#10;1A1EEE9e/wLVa+kpUBtPJPUlta2WmDWwmln1Ss1jBw6zFjYnuMmm8P9g5eftvRda8d3N5+fskIWe&#10;r+mBjQO7MSjOkkWDCzVHPrp7n0QGd0fyexCWrjuOwvfe09AhKCY2S/HlTwlpEzhVrIdPpBgdniJl&#10;t3at7xMg+yB2+VL206XgLgrJHy8WZ/Nlxcwkn82qi8VyWS1yEaiP+c6H+BGpF+mlKTyzz/iwvQsx&#10;8YH6GJL5k9HqVhuTN6nV8Np4sQVuEpASbZwfCoSXkcam+KTzg1W5cSJoM75zhXSchSeto2ch7g2m&#10;JGMfsGWbWc9pZpYb/HXVw1EHCkcyi4qfI5UjzywnAybklmVM2LM/YY8+HOJTKub5mJKrvydPGbky&#10;2Tgl99qS/x2AiWNHMNMx/mjSaE3qjTWpPXfHwFPYFJZ/E4UAKzviMZXRT/3EE5ClH6Y1jdjLfcZ9&#10;/qesfgAAAP//AwBQSwMEFAAGAAgAAAAhAG7r5KHhAAAADwEAAA8AAABkcnMvZG93bnJldi54bWxM&#10;j81ugzAQhO+V+g7WRuotMSE/rSgmqiJxi1SV5NKbgzdAgtcIm4S+fZdTe5vdHc1+k+5G24o79r5x&#10;pGC5iEAglc40VCk4HfP5GwgfNBndOkIFP+hhlz0/pTox7kFfeC9CJTiEfKIV1CF0iZS+rNFqv3Ad&#10;Et8urrc68NhX0vT6weG2lXEUbaXVDfGHWne4r7G8FYNVcIi+r5/DJT8Um1PIbw0Vw8rtlXqZjR/v&#10;IAKO4c8MEz6jQ8ZMZzeQ8aJVMF+ut1wmTOo1XoGYPNE65t2Z1SZmJbNU/u+R/QIAAP//AwBQSwEC&#10;LQAUAAYACAAAACEA5JnDwPsAAADhAQAAEwAAAAAAAAAAAAAAAAAAAAAAW0NvbnRlbnRfVHlwZXNd&#10;LnhtbFBLAQItABQABgAIAAAAIQAjsmrh1wAAAJQBAAALAAAAAAAAAAAAAAAAACwBAABfcmVscy8u&#10;cmVsc1BLAQItABQABgAIAAAAIQDSy8RHJwIAAJsEAAAOAAAAAAAAAAAAAAAAACwCAABkcnMvZTJv&#10;RG9jLnhtbFBLAQItABQABgAIAAAAIQBu6+Sh4QAAAA8BAAAPAAAAAAAAAAAAAAAAAH8EAABkcnMv&#10;ZG93bnJldi54bWxQSwUGAAAAAAQABADzAAAAjQUAAAAA&#10;" fillcolor="#9bbb59 [3206]" strokecolor="#622423 [1605]" strokeweight="2pt">
                <w10:wrap type="through"/>
              </v:rect>
            </w:pict>
          </mc:Fallback>
        </mc:AlternateContent>
      </w:r>
    </w:p>
    <w:p w14:paraId="589EA9F9" w14:textId="77777777" w:rsidR="00B70620" w:rsidRPr="003E689E" w:rsidRDefault="00B70620" w:rsidP="00B70620">
      <w:pPr>
        <w:pStyle w:val="ebook-T1"/>
        <w:rPr>
          <w:rFonts w:ascii="Georgia" w:hAnsi="Georgia"/>
        </w:rPr>
      </w:pPr>
      <w:bookmarkStart w:id="13" w:name="_Toc291670204"/>
      <w:r w:rsidRPr="003E689E">
        <w:rPr>
          <w:rFonts w:ascii="Georgia" w:hAnsi="Georgia"/>
        </w:rPr>
        <w:lastRenderedPageBreak/>
        <w:t>Algunos retos a los que se enfrentan las empresas para diseñar estrategias de negocios inclusivos y algunas propuestas para superarlos</w:t>
      </w:r>
      <w:bookmarkEnd w:id="13"/>
    </w:p>
    <w:p w14:paraId="59EB8EC5" w14:textId="77777777" w:rsidR="00B70620" w:rsidRPr="003E689E" w:rsidRDefault="00B70620"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b/>
        </w:rPr>
      </w:pPr>
    </w:p>
    <w:p w14:paraId="3CD1093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Si los beneficios son tan numerosos, ¿por qué no hay una inversión significativa en estos mercados por parte de la mayoría de las empresas?</w:t>
      </w:r>
    </w:p>
    <w:p w14:paraId="3A5A465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Existe un conjunto de restricciones en las condiciones de mercado que rodean a los pobres, que pueden convertir cualquier negocio en una iniciativa difícil, arriesgada y cara. A continuación se detallan algunas de esas restricciones y algunas propuestas para superarlas o mitigarlas:</w:t>
      </w:r>
    </w:p>
    <w:p w14:paraId="344836AB" w14:textId="77777777" w:rsidR="00B70620" w:rsidRPr="003E689E" w:rsidRDefault="00B70620" w:rsidP="00B70620">
      <w:pPr>
        <w:pStyle w:val="ebook-T2"/>
        <w:rPr>
          <w:rFonts w:ascii="Georgia" w:hAnsi="Georgia"/>
        </w:rPr>
      </w:pPr>
      <w:bookmarkStart w:id="14" w:name="_Toc291670205"/>
      <w:r w:rsidRPr="003E689E">
        <w:rPr>
          <w:rFonts w:ascii="Georgia" w:hAnsi="Georgia"/>
        </w:rPr>
        <w:t>Desconocimiento del sector</w:t>
      </w:r>
      <w:bookmarkEnd w:id="14"/>
    </w:p>
    <w:p w14:paraId="5165FC29"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141413"/>
          <w:sz w:val="28"/>
          <w:szCs w:val="28"/>
        </w:rPr>
      </w:pPr>
      <w:r w:rsidRPr="003E689E">
        <w:rPr>
          <w:rFonts w:ascii="Georgia" w:hAnsi="Georgia" w:cs="Arial"/>
          <w:b/>
          <w:color w:val="141413"/>
          <w:sz w:val="28"/>
          <w:szCs w:val="28"/>
        </w:rPr>
        <w:t xml:space="preserve">El primer reto está relacionado con la falta de conocimiento que tienen las empresas sobre el sector de la Base de la Pirámide, </w:t>
      </w:r>
      <w:r w:rsidRPr="003E689E">
        <w:rPr>
          <w:rFonts w:ascii="Georgia" w:hAnsi="Georgia" w:cs="Arial"/>
          <w:color w:val="141413"/>
          <w:sz w:val="28"/>
          <w:szCs w:val="28"/>
        </w:rPr>
        <w:t>sus preferencias, el tipo de productos que necesitan y a los que pueden tener acceso con sus recursos limitados, así como qué tipo de productos y capacidades pueden aportar como empleados, productores o emprendedores.</w:t>
      </w:r>
    </w:p>
    <w:p w14:paraId="50879A05"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141413"/>
          <w:sz w:val="28"/>
          <w:szCs w:val="28"/>
        </w:rPr>
      </w:pPr>
      <w:r w:rsidRPr="003E689E">
        <w:rPr>
          <w:rFonts w:ascii="Georgia" w:hAnsi="Georgia" w:cs="Arial"/>
          <w:color w:val="141413"/>
          <w:sz w:val="28"/>
          <w:szCs w:val="28"/>
        </w:rPr>
        <w:t xml:space="preserve">Para superar este reto y aumentar el conocimiento del contexto social y empresarial local, las empresas pueden empezar </w:t>
      </w:r>
      <w:r w:rsidRPr="003E689E">
        <w:rPr>
          <w:rFonts w:ascii="Georgia" w:hAnsi="Georgia" w:cs="Arial"/>
          <w:b/>
          <w:color w:val="141413"/>
          <w:sz w:val="28"/>
          <w:szCs w:val="28"/>
        </w:rPr>
        <w:t>por apalancar las fortalezas de los pobres</w:t>
      </w:r>
      <w:r w:rsidRPr="003E689E">
        <w:rPr>
          <w:rFonts w:ascii="Georgia" w:hAnsi="Georgia" w:cs="Arial"/>
          <w:color w:val="141413"/>
          <w:sz w:val="28"/>
          <w:szCs w:val="28"/>
        </w:rPr>
        <w:t xml:space="preserve"> consultando a los interesados, </w:t>
      </w:r>
      <w:r w:rsidRPr="003E689E">
        <w:rPr>
          <w:rFonts w:ascii="Georgia" w:hAnsi="Georgia" w:cs="Arial"/>
          <w:b/>
          <w:color w:val="141413"/>
          <w:sz w:val="28"/>
          <w:szCs w:val="28"/>
        </w:rPr>
        <w:t>analizando sus necesidades y adaptándose a ellas</w:t>
      </w:r>
      <w:r w:rsidRPr="003E689E">
        <w:rPr>
          <w:rFonts w:ascii="Georgia" w:hAnsi="Georgia" w:cs="Arial"/>
          <w:color w:val="141413"/>
          <w:sz w:val="28"/>
          <w:szCs w:val="28"/>
        </w:rPr>
        <w:t xml:space="preserve"> y localizando los productos y servicios que necesitan. Para ello, es importante promover una actitud dinámica y flexible que permita </w:t>
      </w:r>
      <w:r w:rsidRPr="003E689E">
        <w:rPr>
          <w:rFonts w:ascii="Georgia" w:hAnsi="Georgia" w:cs="Arial"/>
          <w:color w:val="141413"/>
          <w:sz w:val="28"/>
          <w:szCs w:val="28"/>
        </w:rPr>
        <w:lastRenderedPageBreak/>
        <w:t xml:space="preserve">adaptarse al cambio de contexto. Otro factor esencial a tener en cuenta, es la utilidad de </w:t>
      </w:r>
      <w:r w:rsidRPr="003E689E">
        <w:rPr>
          <w:rFonts w:ascii="Georgia" w:hAnsi="Georgia" w:cs="Arial"/>
          <w:b/>
          <w:color w:val="141413"/>
          <w:sz w:val="28"/>
          <w:szCs w:val="28"/>
        </w:rPr>
        <w:t>entender y comunicar los impactos</w:t>
      </w:r>
      <w:r w:rsidRPr="003E689E">
        <w:rPr>
          <w:rFonts w:ascii="Georgia" w:hAnsi="Georgia" w:cs="Arial"/>
          <w:color w:val="141413"/>
          <w:sz w:val="28"/>
          <w:szCs w:val="28"/>
        </w:rPr>
        <w:t xml:space="preserve"> introduciendo indicadores de desempeño, realizando un seguimiento del progreso durante el proceso para poder identificar y analizar los mecanismos y modelos que más impacto tienen. Por último, en este sentido, es importante </w:t>
      </w:r>
      <w:r w:rsidRPr="003E689E">
        <w:rPr>
          <w:rFonts w:ascii="Georgia" w:hAnsi="Georgia" w:cs="Arial"/>
          <w:b/>
          <w:color w:val="141413"/>
          <w:sz w:val="28"/>
          <w:szCs w:val="28"/>
        </w:rPr>
        <w:t>compartir los resultados con los interesados e introducir las lecciones aprendidas.</w:t>
      </w:r>
    </w:p>
    <w:p w14:paraId="7D2C8595" w14:textId="77777777" w:rsidR="00B70620" w:rsidRPr="003E689E" w:rsidRDefault="00B70620" w:rsidP="00B70620">
      <w:pPr>
        <w:pStyle w:val="ebook-T2"/>
        <w:rPr>
          <w:rFonts w:ascii="Georgia" w:hAnsi="Georgia"/>
        </w:rPr>
      </w:pPr>
      <w:bookmarkStart w:id="15" w:name="_Toc291670206"/>
      <w:r w:rsidRPr="003E689E">
        <w:rPr>
          <w:rFonts w:ascii="Georgia" w:hAnsi="Georgia"/>
        </w:rPr>
        <w:t>Marco regulatorio</w:t>
      </w:r>
      <w:bookmarkEnd w:id="15"/>
    </w:p>
    <w:p w14:paraId="16F9BAB7" w14:textId="4A20B2C4"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141413"/>
          <w:sz w:val="28"/>
          <w:szCs w:val="28"/>
        </w:rPr>
      </w:pPr>
      <w:r w:rsidRPr="003E689E">
        <w:rPr>
          <w:rFonts w:ascii="Georgia" w:hAnsi="Georgia" w:cs="Arial"/>
          <w:color w:val="141413"/>
          <w:sz w:val="28"/>
          <w:szCs w:val="28"/>
        </w:rPr>
        <w:t xml:space="preserve">Otro reto a tener en cuenta por las empresas está relacionado con el </w:t>
      </w:r>
      <w:r w:rsidRPr="003E689E">
        <w:rPr>
          <w:rFonts w:ascii="Georgia" w:hAnsi="Georgia" w:cs="Arial"/>
          <w:b/>
          <w:color w:val="141413"/>
          <w:sz w:val="28"/>
          <w:szCs w:val="28"/>
        </w:rPr>
        <w:t>marco regulatorio ineficiente</w:t>
      </w:r>
      <w:r w:rsidRPr="003E689E">
        <w:rPr>
          <w:rFonts w:ascii="Georgia" w:hAnsi="Georgia" w:cs="Arial"/>
          <w:color w:val="141413"/>
          <w:sz w:val="28"/>
          <w:szCs w:val="28"/>
        </w:rPr>
        <w:t xml:space="preserve"> en el que se mueven los pobres, que supone inestabilidad jurídica para la actividad de las empresas.</w:t>
      </w:r>
    </w:p>
    <w:p w14:paraId="057CB555"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141413"/>
          <w:sz w:val="28"/>
          <w:szCs w:val="28"/>
        </w:rPr>
      </w:pPr>
      <w:r w:rsidRPr="003E689E">
        <w:rPr>
          <w:rFonts w:ascii="Georgia" w:hAnsi="Georgia" w:cs="Arial"/>
          <w:color w:val="141413"/>
          <w:sz w:val="28"/>
          <w:szCs w:val="28"/>
        </w:rPr>
        <w:t xml:space="preserve">Una posible estrategia para mejorar los marcos regulatorios ineficientes, consiste en </w:t>
      </w:r>
      <w:r w:rsidRPr="003E689E">
        <w:rPr>
          <w:rFonts w:ascii="Georgia" w:hAnsi="Georgia" w:cs="Arial"/>
          <w:sz w:val="28"/>
          <w:szCs w:val="28"/>
        </w:rPr>
        <w:t xml:space="preserve">Involucrarse en un diálogo con el gobierno e Invertir tiempo y recursos en mitigar o terminar con las restricciones de mercado. También puede ser útil analizar las reglas informales que las propias comunidades se fijan y hacen cumplir y que pueden contribuir a hacer viables los negocios inclusivos. </w:t>
      </w:r>
    </w:p>
    <w:p w14:paraId="1C452FDC" w14:textId="77777777" w:rsidR="00B70620" w:rsidRPr="003E689E" w:rsidRDefault="00B70620" w:rsidP="00B70620">
      <w:pPr>
        <w:pStyle w:val="ebook-T2"/>
        <w:rPr>
          <w:rFonts w:ascii="Georgia" w:hAnsi="Georgia"/>
        </w:rPr>
      </w:pPr>
      <w:bookmarkStart w:id="16" w:name="_Toc291670207"/>
      <w:r w:rsidRPr="003E689E">
        <w:rPr>
          <w:rFonts w:ascii="Georgia" w:hAnsi="Georgia"/>
        </w:rPr>
        <w:t>Falta de infraestructura</w:t>
      </w:r>
      <w:bookmarkEnd w:id="16"/>
    </w:p>
    <w:p w14:paraId="2549C452"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141413"/>
          <w:sz w:val="28"/>
          <w:szCs w:val="28"/>
        </w:rPr>
      </w:pPr>
      <w:r w:rsidRPr="003E689E">
        <w:rPr>
          <w:rFonts w:ascii="Georgia" w:hAnsi="Georgia" w:cs="Arial"/>
          <w:color w:val="141413"/>
          <w:sz w:val="28"/>
          <w:szCs w:val="28"/>
        </w:rPr>
        <w:t>Otra barrera importante es la</w:t>
      </w:r>
      <w:r w:rsidRPr="003E689E">
        <w:rPr>
          <w:rFonts w:ascii="Georgia" w:hAnsi="Georgia" w:cs="Arial"/>
          <w:b/>
          <w:color w:val="141413"/>
          <w:sz w:val="28"/>
          <w:szCs w:val="28"/>
        </w:rPr>
        <w:t xml:space="preserve"> falta de infraestructura en las zonas donde típicamente viven las personas desfavorecidas, </w:t>
      </w:r>
      <w:r w:rsidRPr="003E689E">
        <w:rPr>
          <w:rFonts w:ascii="Georgia" w:hAnsi="Georgia" w:cs="Arial"/>
          <w:color w:val="141413"/>
          <w:sz w:val="28"/>
          <w:szCs w:val="28"/>
        </w:rPr>
        <w:t>especialmente en países en vías de desarrollo, lo que complica el establecimiento y desarrollo de nuevos negocios. Por ejemplo, el transporte suele ser complicado por la falta de carreteras o de infraestructura y muchas veces falta agua, electricidad o redes de comunicación.</w:t>
      </w:r>
    </w:p>
    <w:p w14:paraId="19FD3683" w14:textId="77777777" w:rsidR="00B70620" w:rsidRPr="003E689E" w:rsidRDefault="00B70620" w:rsidP="00B70620">
      <w:pPr>
        <w:pStyle w:val="ebook-T2"/>
        <w:rPr>
          <w:rFonts w:ascii="Georgia" w:hAnsi="Georgia"/>
        </w:rPr>
      </w:pPr>
      <w:bookmarkStart w:id="17" w:name="_Toc291670208"/>
      <w:r w:rsidRPr="003E689E">
        <w:rPr>
          <w:rFonts w:ascii="Georgia" w:hAnsi="Georgia"/>
        </w:rPr>
        <w:lastRenderedPageBreak/>
        <w:t>Falta de formación de los pobres</w:t>
      </w:r>
      <w:bookmarkEnd w:id="17"/>
    </w:p>
    <w:p w14:paraId="22210653"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r w:rsidRPr="003E689E">
        <w:rPr>
          <w:rFonts w:ascii="Georgia" w:hAnsi="Georgia" w:cs="Arial"/>
          <w:b/>
          <w:color w:val="141413"/>
          <w:sz w:val="28"/>
          <w:szCs w:val="28"/>
        </w:rPr>
        <w:t>Por otro lado, la falta de capacidades y conocimiento de los pobres</w:t>
      </w:r>
      <w:r w:rsidRPr="003E689E">
        <w:rPr>
          <w:rFonts w:ascii="Georgia" w:hAnsi="Georgia" w:cs="Arial"/>
          <w:color w:val="141413"/>
          <w:sz w:val="28"/>
          <w:szCs w:val="28"/>
        </w:rPr>
        <w:t xml:space="preserve"> puede entorpecer su inclusión en la cadena de valor de las empresas como consumidores, proveedores o distribuidores. Por ejemplo, los consumidores de la base de la pirámide </w:t>
      </w:r>
      <w:r w:rsidRPr="003E689E">
        <w:rPr>
          <w:rFonts w:ascii="Georgia" w:hAnsi="Georgia" w:cs="Arial"/>
          <w:sz w:val="28"/>
          <w:szCs w:val="28"/>
        </w:rPr>
        <w:t>pueden no conocer los beneficios y la utilidad de un producto determinado o les pueden faltar las capacidades para utilizarlos adecuadamente. Como proveedores o distribuidores los pobres pueden no tener el conocimiento y las capacidades para proporcionar productos o servicios de calidad de forma consistente, puntual y con un precio determinado.</w:t>
      </w:r>
    </w:p>
    <w:p w14:paraId="7A0E79BE" w14:textId="77777777" w:rsidR="005F7F2C"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r w:rsidRPr="003E689E">
        <w:rPr>
          <w:rFonts w:ascii="Georgia" w:hAnsi="Georgia" w:cs="Arial"/>
          <w:sz w:val="28"/>
          <w:szCs w:val="28"/>
        </w:rPr>
        <w:t xml:space="preserve">Para superar este reto, las empresas pueden buscar maneras de crear capacidad donde sea apropiado y promover la creación de asociaciones con organizaciones locales que conozcan la realidad de la comunidad y que cuenten con la confianza de sus miembros. Se trata de combinar los recursos y capacidades de distintos actores que cuentan con conocimiento útil para lograr la innovación y la adaptación de los modelos de la empresa a nuevas realidades, escuchando, aprendiendo y compartiendo experiencias con expertos y con los propios interesados. Por ejemplo Allianz, empresa de seguros alemana, trabaja con ONGs locales para explicar el concepto de microseguros en las comunidades con las que trabaja y para distribuirlo. Las ONGs aportan su red local, la confianza generada entre sus miembros y el conocimiento de las dinámicas y necesidades de los pobres. </w:t>
      </w:r>
    </w:p>
    <w:p w14:paraId="69FFD925" w14:textId="77777777" w:rsidR="005F7F2C" w:rsidRDefault="005F7F2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173A619F" w14:textId="77777777" w:rsidR="005F7F2C" w:rsidRDefault="005F7F2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35BFC9EF" w14:textId="77777777" w:rsidR="005F7F2C" w:rsidRDefault="005F7F2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67FC639C" w14:textId="18615B7F"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r w:rsidRPr="003E689E">
        <w:rPr>
          <w:rFonts w:ascii="Georgia" w:hAnsi="Georgia" w:cs="Arial"/>
          <w:sz w:val="28"/>
          <w:szCs w:val="28"/>
        </w:rPr>
        <w:t>Por otro lado, Allianz aporta su tecnología y capacidad financiera. Este tipo de alianzas aprovecha y combina las capacidades complementarias de distintos tipos de actores y favorece el conocimiento de los nuevos productos o servicios en la comunidad. Para mejorar las capacidades de los pobres, muchos proyectos de negocios inclusivos incluyen programas de capacitación y formación</w:t>
      </w:r>
    </w:p>
    <w:p w14:paraId="5886401F" w14:textId="0C384375" w:rsidR="00B70620" w:rsidRPr="003E689E" w:rsidRDefault="00CC2C2C" w:rsidP="00B70620">
      <w:pPr>
        <w:pStyle w:val="ebook-T2"/>
        <w:rPr>
          <w:rFonts w:ascii="Georgia" w:hAnsi="Georgia"/>
        </w:rPr>
      </w:pPr>
      <w:bookmarkStart w:id="18" w:name="_Toc291670209"/>
      <w:r>
        <w:rPr>
          <w:rFonts w:ascii="Georgia" w:hAnsi="Georgia"/>
        </w:rPr>
        <w:t>Acceso a servicios</w:t>
      </w:r>
      <w:r w:rsidR="00B70620" w:rsidRPr="003E689E">
        <w:rPr>
          <w:rFonts w:ascii="Georgia" w:hAnsi="Georgia"/>
        </w:rPr>
        <w:t xml:space="preserve"> financieros</w:t>
      </w:r>
      <w:bookmarkEnd w:id="18"/>
    </w:p>
    <w:p w14:paraId="508F08BB" w14:textId="77777777" w:rsidR="00CC2C2C"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r w:rsidRPr="003E689E">
        <w:rPr>
          <w:rFonts w:ascii="Georgia" w:hAnsi="Georgia" w:cs="Arial"/>
          <w:b/>
          <w:sz w:val="28"/>
          <w:szCs w:val="28"/>
        </w:rPr>
        <w:t>Finalmente, la falta de acceso a productos y servicios financieros</w:t>
      </w:r>
      <w:r w:rsidRPr="003E689E">
        <w:rPr>
          <w:rFonts w:ascii="Georgia" w:hAnsi="Georgia" w:cs="Arial"/>
          <w:sz w:val="28"/>
          <w:szCs w:val="28"/>
        </w:rPr>
        <w:t xml:space="preserve"> a la que se enfrentan los productores y consumidores de la base de la pirámide dificulta la financiación de sus inversiones o grandes compras. Al mismo tiempo, la falta de acceso a productos de seguro hace que no puedan proteger sus pocos activos e ingresos frente a riesgos como la enfermedad, o las inundaciones. En este sentido, las empresas pueden incluir mecanismos para mejorar el acceso a la financiación de las comunidades de la Base de la Pirámide.</w:t>
      </w:r>
    </w:p>
    <w:p w14:paraId="32715A75" w14:textId="77777777" w:rsidR="00146075" w:rsidRDefault="00146075"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6538C722" w14:textId="77777777" w:rsidR="00146075" w:rsidRDefault="00146075"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2E247AB8" w14:textId="77777777" w:rsidR="00146075" w:rsidRDefault="00146075"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48849FE3" w14:textId="77777777" w:rsidR="00146075" w:rsidRDefault="00146075"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22F6A667" w14:textId="77777777" w:rsidR="00146075" w:rsidRDefault="00146075"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6B5A7636" w14:textId="77777777" w:rsidR="00146075" w:rsidRDefault="00146075"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0875E9AF" w14:textId="77777777" w:rsidR="00146075" w:rsidRDefault="00146075"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4E3C5C49" w14:textId="77777777" w:rsidR="00146075" w:rsidRPr="000F7497" w:rsidRDefault="00146075" w:rsidP="000F74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eorgia" w:hAnsi="Georgia" w:cs="Arial"/>
          <w:sz w:val="28"/>
          <w:szCs w:val="28"/>
        </w:rPr>
        <w:sectPr w:rsidR="00146075" w:rsidRPr="000F7497" w:rsidSect="00F87264">
          <w:headerReference w:type="even" r:id="rId35"/>
          <w:headerReference w:type="default" r:id="rId36"/>
          <w:footerReference w:type="default" r:id="rId37"/>
          <w:pgSz w:w="11900" w:h="16840"/>
          <w:pgMar w:top="1418" w:right="1701" w:bottom="1418" w:left="1701" w:header="709" w:footer="709" w:gutter="0"/>
          <w:cols w:space="708"/>
          <w:docGrid w:linePitch="360"/>
        </w:sectPr>
      </w:pPr>
    </w:p>
    <w:p w14:paraId="4CF0F982" w14:textId="0F3A7B6F" w:rsidR="00CC2C2C" w:rsidRPr="00E11BDA" w:rsidRDefault="00E11BDA"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b/>
          <w:sz w:val="28"/>
          <w:szCs w:val="28"/>
        </w:rPr>
      </w:pPr>
      <w:bookmarkStart w:id="19" w:name="_GoBack"/>
      <w:r w:rsidRPr="00E11BDA">
        <w:rPr>
          <w:rFonts w:ascii="Georgia" w:hAnsi="Georgia" w:cs="Arial"/>
          <w:b/>
          <w:sz w:val="28"/>
          <w:szCs w:val="28"/>
        </w:rPr>
        <w:lastRenderedPageBreak/>
        <w:t>Cuadro resumen: Retos y Estrategias de los modelos innovadores con la Base de la Pirámide</w:t>
      </w:r>
    </w:p>
    <w:bookmarkEnd w:id="19"/>
    <w:p w14:paraId="2D281EB4" w14:textId="7379191C" w:rsidR="00CC2C2C" w:rsidRDefault="00CC2C2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pPr>
    </w:p>
    <w:p w14:paraId="352ACCD0" w14:textId="4EFC24B5" w:rsidR="00CC2C2C" w:rsidRDefault="00CC2C2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rPr>
        <w:sectPr w:rsidR="00CC2C2C" w:rsidSect="00CC2C2C">
          <w:pgSz w:w="16840" w:h="11900" w:orient="landscape"/>
          <w:pgMar w:top="1701" w:right="1418" w:bottom="1701" w:left="1418" w:header="709" w:footer="709" w:gutter="0"/>
          <w:cols w:space="708"/>
          <w:docGrid w:linePitch="360"/>
        </w:sectPr>
      </w:pPr>
      <w:r w:rsidRPr="00CC2C2C">
        <w:rPr>
          <w:noProof/>
          <w:lang w:val="en-US"/>
        </w:rPr>
        <w:drawing>
          <wp:inline distT="0" distB="0" distL="0" distR="0" wp14:anchorId="5A08A714" wp14:editId="342D34BA">
            <wp:extent cx="8892540" cy="3921725"/>
            <wp:effectExtent l="0" t="0" r="0" b="0"/>
            <wp:docPr id="133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2540" cy="3921725"/>
                    </a:xfrm>
                    <a:prstGeom prst="rect">
                      <a:avLst/>
                    </a:prstGeom>
                    <a:noFill/>
                    <a:ln>
                      <a:noFill/>
                    </a:ln>
                  </pic:spPr>
                </pic:pic>
              </a:graphicData>
            </a:graphic>
          </wp:inline>
        </w:drawing>
      </w:r>
    </w:p>
    <w:p w14:paraId="0100B50A" w14:textId="6CD672A2" w:rsidR="00CC2C2C" w:rsidRPr="003E689E" w:rsidRDefault="00CC2C2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rPr>
      </w:pPr>
      <w:r w:rsidRPr="003E689E">
        <w:rPr>
          <w:rFonts w:ascii="Georgia" w:hAnsi="Georgia"/>
          <w:noProof/>
          <w:lang w:val="en-US"/>
        </w:rPr>
        <w:lastRenderedPageBreak/>
        <mc:AlternateContent>
          <mc:Choice Requires="wps">
            <w:drawing>
              <wp:anchor distT="0" distB="0" distL="114300" distR="114300" simplePos="0" relativeHeight="251698176" behindDoc="0" locked="0" layoutInCell="1" allowOverlap="1" wp14:anchorId="79F8AEF4" wp14:editId="545CBB74">
                <wp:simplePos x="0" y="0"/>
                <wp:positionH relativeFrom="column">
                  <wp:posOffset>-927735</wp:posOffset>
                </wp:positionH>
                <wp:positionV relativeFrom="paragraph">
                  <wp:posOffset>-1095375</wp:posOffset>
                </wp:positionV>
                <wp:extent cx="7543800" cy="10758805"/>
                <wp:effectExtent l="0" t="0" r="25400" b="36195"/>
                <wp:wrapThrough wrapText="bothSides">
                  <wp:wrapPolygon edited="0">
                    <wp:start x="0" y="0"/>
                    <wp:lineTo x="0" y="21622"/>
                    <wp:lineTo x="21600" y="21622"/>
                    <wp:lineTo x="21600" y="0"/>
                    <wp:lineTo x="0" y="0"/>
                  </wp:wrapPolygon>
                </wp:wrapThrough>
                <wp:docPr id="133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758805"/>
                        </a:xfrm>
                        <a:prstGeom prst="rect">
                          <a:avLst/>
                        </a:prstGeom>
                        <a:solidFill>
                          <a:schemeClr val="accent2">
                            <a:lumMod val="75000"/>
                          </a:schemeClr>
                        </a:solidFill>
                        <a:ln>
                          <a:headEnd/>
                          <a:tailEnd/>
                        </a:ln>
                      </wps:spPr>
                      <wps:style>
                        <a:lnRef idx="2">
                          <a:schemeClr val="accent2">
                            <a:shade val="50000"/>
                          </a:schemeClr>
                        </a:lnRef>
                        <a:fillRef idx="1">
                          <a:schemeClr val="accent2"/>
                        </a:fillRef>
                        <a:effectRef idx="0">
                          <a:schemeClr val="accent2"/>
                        </a:effectRef>
                        <a:fontRef idx="minor">
                          <a:schemeClr val="lt1"/>
                        </a:fontRef>
                      </wps:style>
                      <wps:bodyPr wrap="none"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3pt;margin-top:-86.2pt;width:594pt;height:847.1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ktiDQCAAC/BAAADgAAAGRycy9lMm9Eb2MueG1srFTLbtswELwX6D8QvNeS7bg2hMhBkTS9pG2Q&#10;tB+wJleWUL5A0pb9911StpI2KQoUvRAiuTOcnd3V5dVBK7ZHHzpraj6dlJyhEVZ2Zlvz799u3604&#10;CxGMBGUN1vyIgV+t37657F2FM9taJdEzIjGh6l3N2xhdVRRBtKghTKxDQ5eN9Roibf22kB56Yteq&#10;mJXl+6K3XjpvBYZApzfDJV9n/qZBEb82TcDIVM1JW8yrz+smrcX6EqqtB9d24iQD/kGFhs7QoyPV&#10;DURgO9+9oNKd8DbYJk6E1YVtmk5gzoGymZa/ZfPYgsOcC5kT3GhT+H+04sv+3rNOUu3m8+WcMwOa&#10;yvRAxoHZKmQXyaLehYoiH929T0kGd2fFj8CMvW4pCj94b/sWQZKwaYovfgGkTSAo2/SfrSR22EWb&#10;3To0XidC8oEdclGOY1HwEJmgw+XiYr4qqXaC7qblcrFalYv8CFRnvPMhfkKrWfqouSf1mR/2dyEm&#10;PVCdQ7J+qzp52ymVN6nV8Fp5tgdqEhACTZxluNppEjycLxcliRi4cncmSGYOz9mUSZzJi49GUjRU&#10;ETo1fJOKdJ3NSX4MvoZ4VJgClXnAhkpBOQ/Pj8+8VBZakDgcJ12vC8uEibmhVEfuaU7tD9xDfqf4&#10;BMU8QyO4/Dt4ROSXrYkjWHfG+tcIVBy6hpQO8WeTBmtS/2ysPFIH9TSpNTf0K+EMjGgtjbKIfuw5&#10;mpJck9NEpzF8vs+8T/+d9U8AAAD//wMAUEsDBBQABgAIAAAAIQBMyhd84QAAAA8BAAAPAAAAZHJz&#10;L2Rvd25yZXYueG1sTI/BTsMwEETvSPyDtUjcWidR2rQhToWQuIFEWw4c3dgkEfY62G4S/p7NCW6z&#10;u6PZN9VhtoaN2ofeoYB0nQDT2DjVYyvg/fy82gELUaKSxqEW8KMDHOrbm0qWyk141OMptoxCMJRS&#10;QBfjUHIemk5bGdZu0Ei3T+etjDT6lisvJwq3hmdJsuVW9kgfOjnop043X6erFXCedsYXOf9+KY6b&#10;8e3VxT3/UELc382PD8CinuOfGRZ8QoeamC7uiiowI2CV5lsqExdVZDmwxZPkGe0upDZZugdeV/x/&#10;j/oXAAD//wMAUEsBAi0AFAAGAAgAAAAhAOSZw8D7AAAA4QEAABMAAAAAAAAAAAAAAAAAAAAAAFtD&#10;b250ZW50X1R5cGVzXS54bWxQSwECLQAUAAYACAAAACEAI7Jq4dcAAACUAQAACwAAAAAAAAAAAAAA&#10;AAAsAQAAX3JlbHMvLnJlbHNQSwECLQAUAAYACAAAACEAAkktiDQCAAC/BAAADgAAAAAAAAAAAAAA&#10;AAAsAgAAZHJzL2Uyb0RvYy54bWxQSwECLQAUAAYACAAAACEATMoXfOEAAAAPAQAADwAAAAAAAAAA&#10;AAAAAACMBAAAZHJzL2Rvd25yZXYueG1sUEsFBgAAAAAEAAQA8wAAAJoFAAAAAA==&#10;" fillcolor="#943634 [2405]" strokecolor="#622423 [1605]" strokeweight="2pt">
                <w10:wrap type="through"/>
              </v:rect>
            </w:pict>
          </mc:Fallback>
        </mc:AlternateContent>
      </w:r>
      <w:r w:rsidRPr="003E689E">
        <w:rPr>
          <w:rFonts w:ascii="Georgia" w:hAnsi="Georgia"/>
          <w:noProof/>
          <w:lang w:val="en-US"/>
        </w:rPr>
        <mc:AlternateContent>
          <mc:Choice Requires="wps">
            <w:drawing>
              <wp:anchor distT="0" distB="0" distL="114300" distR="114300" simplePos="0" relativeHeight="251699200" behindDoc="0" locked="0" layoutInCell="1" allowOverlap="1" wp14:anchorId="049031E1" wp14:editId="2AD624F6">
                <wp:simplePos x="0" y="0"/>
                <wp:positionH relativeFrom="column">
                  <wp:posOffset>152400</wp:posOffset>
                </wp:positionH>
                <wp:positionV relativeFrom="paragraph">
                  <wp:posOffset>1290955</wp:posOffset>
                </wp:positionV>
                <wp:extent cx="5372100" cy="6515100"/>
                <wp:effectExtent l="0" t="0" r="0" b="12700"/>
                <wp:wrapSquare wrapText="bothSides"/>
                <wp:docPr id="13374" name="Text Box 13374"/>
                <wp:cNvGraphicFramePr/>
                <a:graphic xmlns:a="http://schemas.openxmlformats.org/drawingml/2006/main">
                  <a:graphicData uri="http://schemas.microsoft.com/office/word/2010/wordprocessingShape">
                    <wps:wsp>
                      <wps:cNvSpPr txBox="1"/>
                      <wps:spPr>
                        <a:xfrm>
                          <a:off x="0" y="0"/>
                          <a:ext cx="5372100" cy="651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68AD3" w14:textId="77777777" w:rsidR="00D41FC4" w:rsidRPr="006056CC" w:rsidRDefault="00D41FC4" w:rsidP="00CC2C2C">
                            <w:pPr>
                              <w:pStyle w:val="ebook-T1"/>
                              <w:jc w:val="center"/>
                              <w:rPr>
                                <w:color w:val="FFFFFF" w:themeColor="background1"/>
                                <w:sz w:val="96"/>
                                <w:szCs w:val="96"/>
                              </w:rPr>
                            </w:pPr>
                            <w:r w:rsidRPr="006056CC">
                              <w:rPr>
                                <w:color w:val="FFFFFF" w:themeColor="background1"/>
                                <w:sz w:val="96"/>
                                <w:szCs w:val="96"/>
                              </w:rPr>
                              <w:t>Tres casos de éxito de negocios inclusivos y cómo han resuelto los retos</w:t>
                            </w:r>
                          </w:p>
                          <w:p w14:paraId="5E6892D9" w14:textId="77777777" w:rsidR="00D41FC4" w:rsidRPr="003C260D" w:rsidRDefault="00D41FC4" w:rsidP="00CC2C2C">
                            <w:pPr>
                              <w:jc w:val="center"/>
                              <w:rPr>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74" o:spid="_x0000_s1031" type="#_x0000_t202" style="position:absolute;left:0;text-align:left;margin-left:12pt;margin-top:101.65pt;width:423pt;height:5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O3bdUCAAAeBgAADgAAAGRycy9lMm9Eb2MueG1srFRNb9swDL0P2H8QdE9tp3bTGnUKN0WGAcVa&#10;rB16VmQpMWZ9TFJiZ8P++yjZTtNuh3XYxaZIiiIfH3l51YkG7ZixtZIFTk5ijJikqqrlusBfHpeT&#10;c4ysI7IijZKswHtm8dX8/bvLVudsqjaqqZhBEETavNUF3jin8yiydMMEsSdKMwlGrowgDo5mHVWG&#10;tBBdNNE0js+iVplKG0WZtaC96Y14HuJzzqi749wyh5oCQ24ufE34rvw3ml+SfG2I3tR0SIP8QxaC&#10;1BIePYS6IY6gral/CyVqapRV3J1QJSLFeU1ZqAGqSeJX1TxsiGahFgDH6gNM9v+FpZ929wbVFfTu&#10;9HSWYiSJgDY9ss6ha9WhXgsotdrm4Pygwd11YIIbHj2vt6D0xXfcCP+HshDYAe/9AWMfkIIyO51N&#10;kxhMFGxnWZL5A8SJnq9rY90HpgTyQoENNDFgS3a31vWuo4t/Tapl3TSgJ3kjXyggZq9hgQn9bZJD&#10;KiB6T59U6NKPRTablrPsYnJWZskkTeLzSVnG08nNsozLOF0uLtLrn5CFIEmat8AXDWzzKAESy4as&#10;h9548981RxD6gspJEgUS9fVB4ADJmGr0DHOQ3L5hfcGfGYf2BbS9IgwOWzQG7QhQnlDKpAuNCmCA&#10;t/fiANhbLg7+AbIA5Vsu9+CPLyvpDpdFLZUJrX2VdvV1TJn3/gDGUd1edN2qC7zNRhauVLUHchrV&#10;D7nVdFkDgW6JdffEwFQD6WBTuTv48Ea1BVaDhNFGme9/0nt/6CdYMfJdL7D9tiWGYdR8lDCGF0ma&#10;+rUSDilwCA7m2LI6tsitWCjoSgI7UdMgen/XjCI3SjzBQiv9q2AiksLbBXajuHD97oKFSFlZBidY&#10;JJq4W/mgqQ/tm+TH47F7IkYPM+SASJ/UuE9I/mqUel9/U6py6xSvw5x5nHtUB/xhCQVaDgvTb7nj&#10;c/B6XuvzXwAAAP//AwBQSwMEFAAGAAgAAAAhAFDt/I3fAAAACwEAAA8AAABkcnMvZG93bnJldi54&#10;bWxMj09PwzAMxe9IfIfISNxYQjtgK00nBOIKYvyRuHmN11Y0TtVka/n2mBOcLPs9Pf9euZl9r440&#10;xi6whcuFAUVcB9dxY+Ht9fFiBSomZId9YLLwTRE21elJiYULE7/QcZsaJSEcC7TQpjQUWse6JY9x&#10;EQZi0fZh9JhkHRvtRpwk3Pc6M+Zae+xYPrQ40H1L9df24C28P+0/P5bmuXnwV8MUZqPZr7W152fz&#10;3S2oRHP6M8MvvqBDJUy7cGAXVW8hW0qVJNPkOSgxrG6MXHbizLJ1Droq9f8O1Q8AAAD//wMAUEsB&#10;Ai0AFAAGAAgAAAAhAOSZw8D7AAAA4QEAABMAAAAAAAAAAAAAAAAAAAAAAFtDb250ZW50X1R5cGVz&#10;XS54bWxQSwECLQAUAAYACAAAACEAI7Jq4dcAAACUAQAACwAAAAAAAAAAAAAAAAAsAQAAX3JlbHMv&#10;LnJlbHNQSwECLQAUAAYACAAAACEAIyO3bdUCAAAeBgAADgAAAAAAAAAAAAAAAAAsAgAAZHJzL2Uy&#10;b0RvYy54bWxQSwECLQAUAAYACAAAACEAUO38jd8AAAALAQAADwAAAAAAAAAAAAAAAAAtBQAAZHJz&#10;L2Rvd25yZXYueG1sUEsFBgAAAAAEAAQA8wAAADkGAAAAAA==&#10;" filled="f" stroked="f">
                <v:textbox>
                  <w:txbxContent>
                    <w:p w14:paraId="23E68AD3" w14:textId="77777777" w:rsidR="00D41FC4" w:rsidRPr="006056CC" w:rsidRDefault="00D41FC4" w:rsidP="00CC2C2C">
                      <w:pPr>
                        <w:pStyle w:val="ebook-T1"/>
                        <w:jc w:val="center"/>
                        <w:rPr>
                          <w:color w:val="FFFFFF" w:themeColor="background1"/>
                          <w:sz w:val="96"/>
                          <w:szCs w:val="96"/>
                        </w:rPr>
                      </w:pPr>
                      <w:r w:rsidRPr="006056CC">
                        <w:rPr>
                          <w:color w:val="FFFFFF" w:themeColor="background1"/>
                          <w:sz w:val="96"/>
                          <w:szCs w:val="96"/>
                        </w:rPr>
                        <w:t>Tres casos de éxito de negocios inclusivos y cómo han resuelto los retos</w:t>
                      </w:r>
                    </w:p>
                    <w:p w14:paraId="5E6892D9" w14:textId="77777777" w:rsidR="00D41FC4" w:rsidRPr="003C260D" w:rsidRDefault="00D41FC4" w:rsidP="00CC2C2C">
                      <w:pPr>
                        <w:jc w:val="center"/>
                        <w:rPr>
                          <w:color w:val="FFFFFF" w:themeColor="background1"/>
                          <w:sz w:val="56"/>
                          <w:szCs w:val="56"/>
                        </w:rPr>
                      </w:pPr>
                    </w:p>
                  </w:txbxContent>
                </v:textbox>
                <w10:wrap type="square"/>
              </v:shape>
            </w:pict>
          </mc:Fallback>
        </mc:AlternateContent>
      </w:r>
    </w:p>
    <w:p w14:paraId="523F3869" w14:textId="53CF13EE" w:rsidR="003C260D" w:rsidRPr="003E689E" w:rsidRDefault="003C260D"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rPr>
      </w:pPr>
    </w:p>
    <w:p w14:paraId="691ECC68" w14:textId="77777777" w:rsidR="00B70620" w:rsidRPr="003E689E" w:rsidRDefault="00B70620" w:rsidP="00B70620">
      <w:pPr>
        <w:pStyle w:val="ebook-T1"/>
        <w:rPr>
          <w:rFonts w:ascii="Georgia" w:hAnsi="Georgia"/>
        </w:rPr>
      </w:pPr>
      <w:bookmarkStart w:id="20" w:name="_Toc291670210"/>
      <w:r w:rsidRPr="003E689E">
        <w:rPr>
          <w:rFonts w:ascii="Georgia" w:hAnsi="Georgia"/>
        </w:rPr>
        <w:t>Tres casos de negocios inclusivos y cómo han resuelto los retos</w:t>
      </w:r>
      <w:bookmarkEnd w:id="20"/>
    </w:p>
    <w:p w14:paraId="2A327C9A" w14:textId="03C2353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A continuación se presentan tres casos de empresas que han incluido a la Base de la Pirámide en su cadena de valor:</w:t>
      </w:r>
    </w:p>
    <w:p w14:paraId="6DE2F609" w14:textId="77777777" w:rsidR="00B70620" w:rsidRPr="003E689E" w:rsidRDefault="00B70620" w:rsidP="00B70620">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 xml:space="preserve">como consumidores (Allianz), </w:t>
      </w:r>
    </w:p>
    <w:p w14:paraId="3705AC29" w14:textId="77777777" w:rsidR="00B70620" w:rsidRPr="003E689E" w:rsidRDefault="00B70620" w:rsidP="00B70620">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 xml:space="preserve">como proveedores (Natura) o </w:t>
      </w:r>
    </w:p>
    <w:p w14:paraId="6FAA6228" w14:textId="77777777" w:rsidR="00B70620" w:rsidRPr="003E689E" w:rsidRDefault="00B70620" w:rsidP="00B70620">
      <w:pPr>
        <w:pStyle w:val="ListParagraph"/>
        <w:widowControl w:val="0"/>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 xml:space="preserve">como distribuidores (Coca-Cola). </w:t>
      </w:r>
    </w:p>
    <w:p w14:paraId="76847A62" w14:textId="77777777" w:rsidR="00B70620" w:rsidRPr="003E689E" w:rsidRDefault="00B70620"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p>
    <w:p w14:paraId="73977E94" w14:textId="75891D4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En cada caso se resumen algunas de las lecciones aprendidas y las medidas tomadas por</w:t>
      </w:r>
      <w:r w:rsidR="00663D8E">
        <w:rPr>
          <w:rFonts w:ascii="Georgia" w:hAnsi="Georgia" w:cs="Arial"/>
          <w:color w:val="000000"/>
          <w:sz w:val="28"/>
          <w:szCs w:val="28"/>
        </w:rPr>
        <w:t xml:space="preserve"> estas empresas para superar los retos y</w:t>
      </w:r>
      <w:r w:rsidRPr="003E689E">
        <w:rPr>
          <w:rFonts w:ascii="Georgia" w:hAnsi="Georgia" w:cs="Arial"/>
          <w:color w:val="000000"/>
          <w:sz w:val="28"/>
          <w:szCs w:val="28"/>
        </w:rPr>
        <w:t xml:space="preserve"> barreras iniciales.</w:t>
      </w:r>
    </w:p>
    <w:p w14:paraId="5199B0D2"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1021438E"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67295B33"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389CB1B5"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6E5A4218"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17A68EA7"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6BBB60ED"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0E825026"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38497295" w14:textId="77777777" w:rsidR="00F87264" w:rsidRPr="003E689E" w:rsidRDefault="00F87264"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79D0B69B" w14:textId="613D96CD" w:rsidR="006B1FCF" w:rsidRDefault="00F87264" w:rsidP="007660E5">
      <w:pPr>
        <w:pStyle w:val="ebook-T2"/>
        <w:rPr>
          <w:rFonts w:ascii="Georgia" w:hAnsi="Georgia"/>
        </w:rPr>
      </w:pPr>
      <w:bookmarkStart w:id="21" w:name="_Toc291670211"/>
      <w:r w:rsidRPr="003E689E">
        <w:rPr>
          <w:rFonts w:ascii="Georgia" w:hAnsi="Georgia"/>
        </w:rPr>
        <w:lastRenderedPageBreak/>
        <w:t xml:space="preserve">CASO 1. </w:t>
      </w:r>
      <w:r w:rsidR="00B70620" w:rsidRPr="003E689E">
        <w:rPr>
          <w:rFonts w:ascii="Georgia" w:hAnsi="Georgia"/>
        </w:rPr>
        <w:t>DISEÑANDO PRODUCTOS DE SEGUROS PARA LA BASE DE LA PIRÁMIDE: ALLIANZ</w:t>
      </w:r>
      <w:bookmarkEnd w:id="21"/>
    </w:p>
    <w:p w14:paraId="2E6CC09E" w14:textId="764F1032" w:rsidR="00367552" w:rsidRPr="003E689E" w:rsidRDefault="00367552" w:rsidP="007660E5">
      <w:pPr>
        <w:pStyle w:val="ebook-T2"/>
        <w:rPr>
          <w:rFonts w:ascii="Georgia" w:hAnsi="Georgia"/>
        </w:rPr>
      </w:pPr>
      <w:r w:rsidRPr="00367552">
        <w:rPr>
          <w:noProof/>
          <w:lang w:val="en-US"/>
        </w:rPr>
        <w:drawing>
          <wp:inline distT="0" distB="0" distL="0" distR="0" wp14:anchorId="6BDDCD10" wp14:editId="76F10D07">
            <wp:extent cx="5396230" cy="4141746"/>
            <wp:effectExtent l="0" t="0" r="0" b="0"/>
            <wp:docPr id="133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6230" cy="4141746"/>
                    </a:xfrm>
                    <a:prstGeom prst="rect">
                      <a:avLst/>
                    </a:prstGeom>
                    <a:noFill/>
                    <a:ln>
                      <a:noFill/>
                    </a:ln>
                  </pic:spPr>
                </pic:pic>
              </a:graphicData>
            </a:graphic>
          </wp:inline>
        </w:drawing>
      </w:r>
    </w:p>
    <w:tbl>
      <w:tblPr>
        <w:tblStyle w:val="LightList-Accent2"/>
        <w:tblpPr w:leftFromText="180" w:rightFromText="180" w:vertAnchor="text" w:horzAnchor="page" w:tblpX="1729" w:tblpY="280"/>
        <w:tblW w:w="0" w:type="auto"/>
        <w:tblBorders>
          <w:top w:val="single" w:sz="4" w:space="0" w:color="800000"/>
          <w:left w:val="single" w:sz="4" w:space="0" w:color="800000"/>
          <w:bottom w:val="single" w:sz="4" w:space="0" w:color="800000"/>
          <w:right w:val="single" w:sz="4" w:space="0" w:color="800000"/>
          <w:insideH w:val="single" w:sz="4" w:space="0" w:color="auto"/>
        </w:tblBorders>
        <w:tblLook w:val="00A0" w:firstRow="1" w:lastRow="0" w:firstColumn="1" w:lastColumn="0" w:noHBand="0" w:noVBand="0"/>
      </w:tblPr>
      <w:tblGrid>
        <w:gridCol w:w="2389"/>
        <w:gridCol w:w="6325"/>
      </w:tblGrid>
      <w:tr w:rsidR="00B70620" w:rsidRPr="003E689E" w14:paraId="4927AF47" w14:textId="77777777" w:rsidTr="00EB5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Borders>
              <w:bottom w:val="single" w:sz="4" w:space="0" w:color="auto"/>
            </w:tcBorders>
          </w:tcPr>
          <w:p w14:paraId="5B2A26E7" w14:textId="77777777" w:rsidR="00B84C6F" w:rsidRDefault="00B84C6F"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bCs w:val="0"/>
                <w:sz w:val="28"/>
                <w:szCs w:val="28"/>
              </w:rPr>
            </w:pPr>
          </w:p>
          <w:p w14:paraId="49F2F62F"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bCs w:val="0"/>
                <w:sz w:val="28"/>
                <w:szCs w:val="28"/>
              </w:rPr>
            </w:pPr>
            <w:r w:rsidRPr="003E689E">
              <w:rPr>
                <w:rFonts w:ascii="Georgia" w:eastAsiaTheme="minorHAnsi" w:hAnsi="Georgia" w:cs="Arial"/>
                <w:bCs w:val="0"/>
                <w:sz w:val="28"/>
                <w:szCs w:val="28"/>
              </w:rPr>
              <w:t>Empresa</w:t>
            </w:r>
          </w:p>
        </w:tc>
        <w:tc>
          <w:tcPr>
            <w:cnfStyle w:val="000010000000" w:firstRow="0" w:lastRow="0" w:firstColumn="0" w:lastColumn="0" w:oddVBand="1" w:evenVBand="0" w:oddHBand="0" w:evenHBand="0" w:firstRowFirstColumn="0" w:firstRowLastColumn="0" w:lastRowFirstColumn="0" w:lastRowLastColumn="0"/>
            <w:tcW w:w="6802" w:type="dxa"/>
            <w:tcBorders>
              <w:top w:val="none" w:sz="0" w:space="0" w:color="auto"/>
              <w:left w:val="none" w:sz="0" w:space="0" w:color="auto"/>
              <w:bottom w:val="single" w:sz="4" w:space="0" w:color="auto"/>
              <w:right w:val="none" w:sz="0" w:space="0" w:color="auto"/>
            </w:tcBorders>
          </w:tcPr>
          <w:p w14:paraId="776AE6EE" w14:textId="77777777" w:rsidR="00B84C6F" w:rsidRDefault="00B84C6F"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p w14:paraId="08DB50A1" w14:textId="4BC655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r w:rsidRPr="003E689E">
              <w:rPr>
                <w:rFonts w:ascii="Georgia" w:hAnsi="Georgia" w:cs="Arial"/>
                <w:sz w:val="28"/>
                <w:szCs w:val="28"/>
              </w:rPr>
              <w:t>ALLIANZ</w:t>
            </w:r>
            <w:r w:rsidR="00EB59D1">
              <w:rPr>
                <w:rFonts w:ascii="Georgia" w:hAnsi="Georgia" w:cs="Arial"/>
                <w:sz w:val="28"/>
                <w:szCs w:val="28"/>
              </w:rPr>
              <w:t xml:space="preserve"> Seguros</w:t>
            </w:r>
          </w:p>
          <w:p w14:paraId="7D4E8A97" w14:textId="5AB29920"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p>
        </w:tc>
      </w:tr>
      <w:tr w:rsidR="003E689E" w:rsidRPr="003E689E" w14:paraId="2B0F21BC" w14:textId="77777777" w:rsidTr="00EB5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Borders>
              <w:top w:val="single" w:sz="4" w:space="0" w:color="auto"/>
              <w:left w:val="single" w:sz="4" w:space="0" w:color="auto"/>
              <w:bottom w:val="single" w:sz="4" w:space="0" w:color="auto"/>
              <w:right w:val="nil"/>
            </w:tcBorders>
          </w:tcPr>
          <w:p w14:paraId="0A0A8B58" w14:textId="2660A6D1" w:rsidR="003E689E" w:rsidRPr="003E689E" w:rsidRDefault="003E689E"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bCs w:val="0"/>
                <w:color w:val="000000"/>
                <w:sz w:val="28"/>
                <w:szCs w:val="28"/>
              </w:rPr>
            </w:pPr>
            <w:r>
              <w:rPr>
                <w:rFonts w:ascii="Georgia" w:eastAsiaTheme="minorHAnsi" w:hAnsi="Georgia" w:cs="Arial"/>
                <w:bCs w:val="0"/>
                <w:color w:val="000000"/>
                <w:sz w:val="28"/>
                <w:szCs w:val="28"/>
              </w:rPr>
              <w:t>Perfil Empresarial</w:t>
            </w:r>
          </w:p>
        </w:tc>
        <w:tc>
          <w:tcPr>
            <w:cnfStyle w:val="000010000000" w:firstRow="0" w:lastRow="0" w:firstColumn="0" w:lastColumn="0" w:oddVBand="1" w:evenVBand="0" w:oddHBand="0" w:evenHBand="0" w:firstRowFirstColumn="0" w:firstRowLastColumn="0" w:lastRowFirstColumn="0" w:lastRowLastColumn="0"/>
            <w:tcW w:w="6802" w:type="dxa"/>
            <w:tcBorders>
              <w:top w:val="single" w:sz="4" w:space="0" w:color="auto"/>
              <w:left w:val="nil"/>
              <w:bottom w:val="single" w:sz="4" w:space="0" w:color="auto"/>
              <w:right w:val="single" w:sz="4" w:space="0" w:color="auto"/>
            </w:tcBorders>
          </w:tcPr>
          <w:p w14:paraId="51906212" w14:textId="1484F561" w:rsidR="00EB59D1" w:rsidRPr="003E689E" w:rsidRDefault="003E689E"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hAnsi="Georgia" w:cs="Arial"/>
                <w:sz w:val="28"/>
                <w:szCs w:val="28"/>
              </w:rPr>
              <w:t xml:space="preserve">Allianz es uno de los grupos aseguradores y proveedores de servicios financieros más importantes del mundo </w:t>
            </w:r>
            <w:r w:rsidRPr="003E689E">
              <w:rPr>
                <w:rFonts w:ascii="Georgia" w:hAnsi="Georgia" w:cs="Arial"/>
                <w:bCs/>
                <w:sz w:val="28"/>
                <w:szCs w:val="28"/>
              </w:rPr>
              <w:t>presente en más de 70 países</w:t>
            </w:r>
            <w:r w:rsidR="00EB59D1">
              <w:rPr>
                <w:rFonts w:ascii="Georgia" w:hAnsi="Georgia" w:cs="Arial"/>
                <w:bCs/>
                <w:sz w:val="28"/>
                <w:szCs w:val="28"/>
              </w:rPr>
              <w:t xml:space="preserve"> en los 5 continentes, donde 144</w:t>
            </w:r>
            <w:r w:rsidRPr="003E689E">
              <w:rPr>
                <w:rFonts w:ascii="Georgia" w:hAnsi="Georgia" w:cs="Arial"/>
                <w:bCs/>
                <w:sz w:val="28"/>
                <w:szCs w:val="28"/>
              </w:rPr>
              <w:t xml:space="preserve">.000 empleados de diferente nacionalidad, idioma, religión, formación y experiencia dan servicio a </w:t>
            </w:r>
            <w:r w:rsidRPr="003E689E">
              <w:rPr>
                <w:rFonts w:ascii="Georgia" w:hAnsi="Georgia" w:cs="Arial"/>
                <w:bCs/>
                <w:sz w:val="28"/>
                <w:szCs w:val="28"/>
              </w:rPr>
              <w:lastRenderedPageBreak/>
              <w:t>más de 78 millones de clientes</w:t>
            </w:r>
            <w:r w:rsidRPr="003E689E">
              <w:rPr>
                <w:rFonts w:ascii="Georgia" w:hAnsi="Georgia" w:cs="Arial"/>
                <w:sz w:val="28"/>
                <w:szCs w:val="28"/>
              </w:rPr>
              <w:t xml:space="preserve">. </w:t>
            </w:r>
          </w:p>
        </w:tc>
      </w:tr>
      <w:tr w:rsidR="00B70620" w:rsidRPr="003E689E" w14:paraId="5813CDBB" w14:textId="77777777" w:rsidTr="00EB59D1">
        <w:tc>
          <w:tcPr>
            <w:cnfStyle w:val="001000000000" w:firstRow="0" w:lastRow="0" w:firstColumn="1" w:lastColumn="0" w:oddVBand="0" w:evenVBand="0" w:oddHBand="0" w:evenHBand="0" w:firstRowFirstColumn="0" w:firstRowLastColumn="0" w:lastRowFirstColumn="0" w:lastRowLastColumn="0"/>
            <w:tcW w:w="1714" w:type="dxa"/>
            <w:tcBorders>
              <w:top w:val="single" w:sz="4" w:space="0" w:color="auto"/>
            </w:tcBorders>
          </w:tcPr>
          <w:p w14:paraId="127C0A57"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eastAsiaTheme="minorHAnsi" w:hAnsi="Georgia" w:cs="Arial"/>
                <w:bCs w:val="0"/>
                <w:color w:val="000000"/>
                <w:sz w:val="28"/>
                <w:szCs w:val="28"/>
              </w:rPr>
              <w:lastRenderedPageBreak/>
              <w:t>Concepto de negocio inclusivo</w:t>
            </w:r>
          </w:p>
        </w:tc>
        <w:tc>
          <w:tcPr>
            <w:cnfStyle w:val="000010000000" w:firstRow="0" w:lastRow="0" w:firstColumn="0" w:lastColumn="0" w:oddVBand="1" w:evenVBand="0" w:oddHBand="0" w:evenHBand="0" w:firstRowFirstColumn="0" w:firstRowLastColumn="0" w:lastRowFirstColumn="0" w:lastRowLastColumn="0"/>
            <w:tcW w:w="6802" w:type="dxa"/>
            <w:tcBorders>
              <w:top w:val="single" w:sz="4" w:space="0" w:color="auto"/>
              <w:left w:val="none" w:sz="0" w:space="0" w:color="auto"/>
              <w:right w:val="none" w:sz="0" w:space="0" w:color="auto"/>
            </w:tcBorders>
          </w:tcPr>
          <w:p w14:paraId="55487741" w14:textId="2A5369EC"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eastAsiaTheme="minorHAnsi" w:hAnsi="Georgia" w:cs="Arial"/>
                <w:color w:val="000000"/>
                <w:sz w:val="28"/>
                <w:szCs w:val="28"/>
              </w:rPr>
              <w:t>Productos de seguro de vida y de no vida accesibles, destinados específicamente a poblaciones con bajos ingresos y adaptados a sus necesidades (microseguros)</w:t>
            </w:r>
          </w:p>
        </w:tc>
      </w:tr>
      <w:tr w:rsidR="00B70620" w:rsidRPr="003E689E" w14:paraId="438B721D"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AC865F7"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bCs w:val="0"/>
                <w:color w:val="000000"/>
                <w:sz w:val="28"/>
                <w:szCs w:val="28"/>
              </w:rPr>
            </w:pPr>
            <w:r w:rsidRPr="003E689E">
              <w:rPr>
                <w:rFonts w:ascii="Georgia" w:eastAsiaTheme="minorHAnsi" w:hAnsi="Georgia" w:cs="Arial"/>
                <w:bCs w:val="0"/>
                <w:color w:val="000000"/>
                <w:sz w:val="28"/>
                <w:szCs w:val="28"/>
              </w:rPr>
              <w:t>Oportunidades</w:t>
            </w:r>
          </w:p>
          <w:p w14:paraId="44FC5ED7"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p>
        </w:tc>
        <w:tc>
          <w:tcPr>
            <w:cnfStyle w:val="000010000000" w:firstRow="0" w:lastRow="0" w:firstColumn="0" w:lastColumn="0" w:oddVBand="1" w:evenVBand="0" w:oddHBand="0" w:evenHBand="0" w:firstRowFirstColumn="0" w:firstRowLastColumn="0" w:lastRowFirstColumn="0" w:lastRowLastColumn="0"/>
            <w:tcW w:w="6802" w:type="dxa"/>
            <w:tcBorders>
              <w:left w:val="none" w:sz="0" w:space="0" w:color="auto"/>
              <w:right w:val="none" w:sz="0" w:space="0" w:color="auto"/>
            </w:tcBorders>
          </w:tcPr>
          <w:p w14:paraId="491ACB27" w14:textId="74F834F7" w:rsidR="00B70620" w:rsidRPr="003E689E" w:rsidRDefault="00B70620" w:rsidP="003C260D">
            <w:pPr>
              <w:widowControl w:val="0"/>
              <w:autoSpaceDE w:val="0"/>
              <w:autoSpaceDN w:val="0"/>
              <w:adjustRightInd w:val="0"/>
              <w:spacing w:line="360" w:lineRule="auto"/>
              <w:jc w:val="both"/>
              <w:rPr>
                <w:rFonts w:ascii="Georgia" w:hAnsi="Georgia" w:cs="Arial"/>
                <w:color w:val="373737"/>
                <w:sz w:val="28"/>
                <w:szCs w:val="28"/>
                <w:lang w:val="en-US"/>
              </w:rPr>
            </w:pPr>
            <w:r w:rsidRPr="003E689E">
              <w:rPr>
                <w:rFonts w:ascii="Georgia" w:eastAsiaTheme="minorHAnsi" w:hAnsi="Georgia" w:cs="Arial"/>
                <w:b/>
                <w:color w:val="000000"/>
                <w:sz w:val="28"/>
                <w:szCs w:val="28"/>
              </w:rPr>
              <w:t>Para Allianz:</w:t>
            </w:r>
            <w:r w:rsidRPr="003E689E">
              <w:rPr>
                <w:rFonts w:ascii="Georgia" w:eastAsiaTheme="minorHAnsi" w:hAnsi="Georgia" w:cs="Arial"/>
                <w:color w:val="000000"/>
                <w:sz w:val="28"/>
                <w:szCs w:val="28"/>
              </w:rPr>
              <w:t xml:space="preserve"> </w:t>
            </w:r>
            <w:r w:rsidRPr="003E689E">
              <w:rPr>
                <w:rFonts w:ascii="Georgia" w:hAnsi="Georgia" w:cs="Arial"/>
                <w:color w:val="373737"/>
                <w:sz w:val="28"/>
                <w:szCs w:val="28"/>
                <w:lang w:val="en-US"/>
              </w:rPr>
              <w:t xml:space="preserve"> Una base de consumidores compuesta por más de la mitad de la población mundial ofrece un mercado potencial muy importante para la industria de los seguros. Allianz, uno de los proveedores de seguros más importantes, aportará su experiencia a nivel mundial para determinar la viabilidad de los seguros y el costo de los mismos.</w:t>
            </w:r>
          </w:p>
          <w:p w14:paraId="23F0834B"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eastAsiaTheme="minorHAnsi" w:hAnsi="Georgia" w:cs="Arial"/>
                <w:b/>
                <w:color w:val="000000"/>
                <w:sz w:val="28"/>
                <w:szCs w:val="28"/>
              </w:rPr>
              <w:t>Para la Base de la Pirámide</w:t>
            </w:r>
            <w:r w:rsidRPr="003E689E">
              <w:rPr>
                <w:rFonts w:ascii="Georgia" w:eastAsiaTheme="minorHAnsi" w:hAnsi="Georgia" w:cs="Arial"/>
                <w:color w:val="000000"/>
                <w:sz w:val="28"/>
                <w:szCs w:val="28"/>
              </w:rPr>
              <w:t xml:space="preserve">: Sin seguro, los pobres arriesgan perder todo lo que tienen. El acceso a micro-seguros les proporciona cobertura para eventualidades y riesgos de distintos tipos, </w:t>
            </w:r>
            <w:r w:rsidRPr="003E689E">
              <w:rPr>
                <w:rFonts w:ascii="Georgia" w:hAnsi="Georgia" w:cs="Arial"/>
                <w:color w:val="000000"/>
                <w:sz w:val="28"/>
                <w:szCs w:val="28"/>
              </w:rPr>
              <w:t>reducen sus debilidades para establecer empresas locales y fortalecen su sustento económico.</w:t>
            </w:r>
          </w:p>
          <w:p w14:paraId="06A6AEC5" w14:textId="74B11975" w:rsidR="005F7F2C"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 xml:space="preserve">También se espera que el acceso a los micro-seguros fomente las inversiones del sector privado, incluyendo la infraestructura, incremente la tolerancia de las comunidades, desde sus estructuras básicas, y promueva el </w:t>
            </w:r>
            <w:r w:rsidRPr="003E689E">
              <w:rPr>
                <w:rFonts w:ascii="Georgia" w:hAnsi="Georgia" w:cs="Arial"/>
                <w:color w:val="000000"/>
                <w:sz w:val="28"/>
                <w:szCs w:val="28"/>
              </w:rPr>
              <w:lastRenderedPageBreak/>
              <w:t>desarrollo humano sostenible.</w:t>
            </w:r>
          </w:p>
        </w:tc>
      </w:tr>
      <w:tr w:rsidR="00B70620" w:rsidRPr="003E689E" w14:paraId="27D88D5B" w14:textId="77777777" w:rsidTr="00B70620">
        <w:tc>
          <w:tcPr>
            <w:cnfStyle w:val="001000000000" w:firstRow="0" w:lastRow="0" w:firstColumn="1" w:lastColumn="0" w:oddVBand="0" w:evenVBand="0" w:oddHBand="0" w:evenHBand="0" w:firstRowFirstColumn="0" w:firstRowLastColumn="0" w:lastRowFirstColumn="0" w:lastRowLastColumn="0"/>
            <w:tcW w:w="1714" w:type="dxa"/>
          </w:tcPr>
          <w:p w14:paraId="57A5A55D"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bCs w:val="0"/>
                <w:color w:val="000000"/>
                <w:sz w:val="28"/>
                <w:szCs w:val="28"/>
              </w:rPr>
            </w:pPr>
            <w:r w:rsidRPr="003E689E">
              <w:rPr>
                <w:rFonts w:ascii="Georgia" w:eastAsiaTheme="minorHAnsi" w:hAnsi="Georgia" w:cs="Arial"/>
                <w:bCs w:val="0"/>
                <w:color w:val="000000"/>
                <w:sz w:val="28"/>
                <w:szCs w:val="28"/>
              </w:rPr>
              <w:lastRenderedPageBreak/>
              <w:t>¿Cómo lo ha hecho?</w:t>
            </w:r>
          </w:p>
          <w:p w14:paraId="08C5D108"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eastAsiaTheme="minorHAnsi" w:hAnsi="Georgia" w:cs="Arial"/>
                <w:color w:val="000000"/>
                <w:sz w:val="28"/>
                <w:szCs w:val="28"/>
              </w:rPr>
              <w:tab/>
            </w:r>
          </w:p>
        </w:tc>
        <w:tc>
          <w:tcPr>
            <w:cnfStyle w:val="000010000000" w:firstRow="0" w:lastRow="0" w:firstColumn="0" w:lastColumn="0" w:oddVBand="1" w:evenVBand="0" w:oddHBand="0" w:evenHBand="0" w:firstRowFirstColumn="0" w:firstRowLastColumn="0" w:lastRowFirstColumn="0" w:lastRowLastColumn="0"/>
            <w:tcW w:w="6802" w:type="dxa"/>
            <w:tcBorders>
              <w:left w:val="none" w:sz="0" w:space="0" w:color="auto"/>
              <w:right w:val="none" w:sz="0" w:space="0" w:color="auto"/>
            </w:tcBorders>
          </w:tcPr>
          <w:p w14:paraId="27F0D721"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eastAsiaTheme="minorHAnsi" w:hAnsi="Georgia" w:cs="Arial"/>
                <w:color w:val="000000"/>
                <w:sz w:val="28"/>
                <w:szCs w:val="28"/>
              </w:rPr>
              <w:t>Allianz trabaja con ONGs locales para reducir los elevados costes de administración y la falta de conciencia  y conocimiento sobre  la utilidad y el funcionamiento de los seguros en las comunidades pobres del sur de la India, Indonesia, Egipto y dentro de poco, África del Oeste.</w:t>
            </w:r>
          </w:p>
          <w:p w14:paraId="5D79E1CE" w14:textId="77777777" w:rsidR="00B70620" w:rsidRPr="003E689E" w:rsidRDefault="00B70620" w:rsidP="00B70620">
            <w:pPr>
              <w:widowControl w:val="0"/>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hAnsi="Georgia" w:cs="Arial"/>
                <w:color w:val="373737"/>
                <w:sz w:val="28"/>
                <w:szCs w:val="28"/>
                <w:lang w:val="en-US"/>
              </w:rPr>
              <w:t>Posteriormente, Allianz se asoció con el Programa de las Naciones Unidas para el Desarrollo (PNUD) y con GTZ, agencia internacional de cooperación alemana, para llevar a cabo estudios de mercado que analicen la demanda de microseguros en la India, Indonesia y la República Popular de Laos.</w:t>
            </w:r>
            <w:r w:rsidRPr="003E689E">
              <w:rPr>
                <w:rFonts w:ascii="Georgia" w:eastAsiaTheme="minorHAnsi" w:hAnsi="Georgia" w:cs="Arial"/>
                <w:color w:val="000000"/>
                <w:sz w:val="28"/>
                <w:szCs w:val="28"/>
              </w:rPr>
              <w:t xml:space="preserve"> </w:t>
            </w:r>
          </w:p>
        </w:tc>
      </w:tr>
      <w:tr w:rsidR="00B70620" w:rsidRPr="003E689E" w14:paraId="1DDBAB60"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39B396A7"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eastAsiaTheme="minorHAnsi" w:hAnsi="Georgia" w:cs="Arial"/>
                <w:bCs w:val="0"/>
                <w:color w:val="000000"/>
                <w:sz w:val="28"/>
                <w:szCs w:val="28"/>
              </w:rPr>
              <w:t>Resultados</w:t>
            </w:r>
          </w:p>
        </w:tc>
        <w:tc>
          <w:tcPr>
            <w:cnfStyle w:val="000010000000" w:firstRow="0" w:lastRow="0" w:firstColumn="0" w:lastColumn="0" w:oddVBand="1" w:evenVBand="0" w:oddHBand="0" w:evenHBand="0" w:firstRowFirstColumn="0" w:firstRowLastColumn="0" w:lastRowFirstColumn="0" w:lastRowLastColumn="0"/>
            <w:tcW w:w="6802" w:type="dxa"/>
            <w:tcBorders>
              <w:left w:val="none" w:sz="0" w:space="0" w:color="auto"/>
              <w:right w:val="none" w:sz="0" w:space="0" w:color="auto"/>
            </w:tcBorders>
          </w:tcPr>
          <w:p w14:paraId="39A76028" w14:textId="77777777" w:rsidR="00B70620" w:rsidRPr="003E689E" w:rsidRDefault="00B70620" w:rsidP="00B70620">
            <w:pPr>
              <w:widowControl w:val="0"/>
              <w:autoSpaceDE w:val="0"/>
              <w:autoSpaceDN w:val="0"/>
              <w:adjustRightInd w:val="0"/>
              <w:spacing w:line="360" w:lineRule="auto"/>
              <w:jc w:val="both"/>
              <w:rPr>
                <w:rFonts w:ascii="Georgia" w:hAnsi="Georgia" w:cs="Arial"/>
                <w:color w:val="373737"/>
                <w:sz w:val="28"/>
                <w:szCs w:val="28"/>
                <w:lang w:val="en-US"/>
              </w:rPr>
            </w:pPr>
            <w:r w:rsidRPr="003E689E">
              <w:rPr>
                <w:rFonts w:ascii="Georgia" w:eastAsiaTheme="minorHAnsi" w:hAnsi="Georgia" w:cs="Arial"/>
                <w:color w:val="000000"/>
                <w:sz w:val="28"/>
                <w:szCs w:val="28"/>
              </w:rPr>
              <w:t xml:space="preserve">Más de 1,8 millones de personas en la India, Indonesia y Egipto están ahora protegidos por las políticas de micro-seguros de Allianz. </w:t>
            </w:r>
            <w:r w:rsidRPr="003E689E">
              <w:rPr>
                <w:rFonts w:ascii="Georgia" w:hAnsi="Georgia" w:cs="Arial"/>
                <w:color w:val="373737"/>
                <w:sz w:val="28"/>
                <w:szCs w:val="28"/>
                <w:lang w:val="en-US"/>
              </w:rPr>
              <w:t xml:space="preserve"> Se espera que los microseguros beneficien a los grupos de menores recursos, reduzcan sus debilidades, establezcan empresas locales y fortalezcan su sustento económico.</w:t>
            </w:r>
          </w:p>
          <w:p w14:paraId="6520B00D" w14:textId="77777777" w:rsidR="00B70620" w:rsidRPr="003E689E" w:rsidRDefault="00B70620" w:rsidP="00B70620">
            <w:pPr>
              <w:widowControl w:val="0"/>
              <w:autoSpaceDE w:val="0"/>
              <w:autoSpaceDN w:val="0"/>
              <w:adjustRightInd w:val="0"/>
              <w:spacing w:line="360" w:lineRule="auto"/>
              <w:jc w:val="both"/>
              <w:rPr>
                <w:rFonts w:ascii="Georgia" w:hAnsi="Georgia" w:cs="Arial"/>
                <w:color w:val="373737"/>
                <w:sz w:val="28"/>
                <w:szCs w:val="28"/>
                <w:lang w:val="en-US"/>
              </w:rPr>
            </w:pPr>
            <w:r w:rsidRPr="003E689E">
              <w:rPr>
                <w:rFonts w:ascii="Georgia" w:hAnsi="Georgia" w:cs="Arial"/>
                <w:color w:val="373737"/>
                <w:sz w:val="28"/>
                <w:szCs w:val="28"/>
                <w:lang w:val="en-US"/>
              </w:rPr>
              <w:t xml:space="preserve">También se espera que el acceso a los microseguros fomente las inversiones del sector privado, incluyendo la infraestructura, incremente la tolerancia de las comunidades, </w:t>
            </w:r>
            <w:r w:rsidRPr="003E689E">
              <w:rPr>
                <w:rFonts w:ascii="Georgia" w:hAnsi="Georgia" w:cs="Arial"/>
                <w:color w:val="373737"/>
                <w:sz w:val="28"/>
                <w:szCs w:val="28"/>
                <w:lang w:val="en-US"/>
              </w:rPr>
              <w:lastRenderedPageBreak/>
              <w:t xml:space="preserve">desde sus estructuras básicas, </w:t>
            </w:r>
            <w:proofErr w:type="gramStart"/>
            <w:r w:rsidRPr="003E689E">
              <w:rPr>
                <w:rFonts w:ascii="Georgia" w:hAnsi="Georgia" w:cs="Arial"/>
                <w:color w:val="373737"/>
                <w:sz w:val="28"/>
                <w:szCs w:val="28"/>
                <w:lang w:val="en-US"/>
              </w:rPr>
              <w:t>y</w:t>
            </w:r>
            <w:proofErr w:type="gramEnd"/>
            <w:r w:rsidRPr="003E689E">
              <w:rPr>
                <w:rFonts w:ascii="Georgia" w:hAnsi="Georgia" w:cs="Arial"/>
                <w:color w:val="373737"/>
                <w:sz w:val="28"/>
                <w:szCs w:val="28"/>
                <w:lang w:val="en-US"/>
              </w:rPr>
              <w:t xml:space="preserve"> promueva el desarrollo humano sustentable.</w:t>
            </w:r>
          </w:p>
          <w:p w14:paraId="5C1146F2" w14:textId="5B4158CA"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color w:val="000000"/>
                <w:sz w:val="28"/>
                <w:szCs w:val="28"/>
              </w:rPr>
            </w:pPr>
            <w:r w:rsidRPr="003E689E">
              <w:rPr>
                <w:rFonts w:ascii="Georgia" w:hAnsi="Georgia" w:cs="Arial"/>
                <w:color w:val="373737"/>
                <w:sz w:val="28"/>
                <w:szCs w:val="28"/>
                <w:lang w:val="en-US"/>
              </w:rPr>
              <w:t>Los estudios realizados por el grupo indicaron claramente que el acceso a los microseguros ayuda a los sectores más necesitados, al igual que contribuye de manera significativa a alcanzar los Objetivos de Desarrollo del Milenio, en particular la erradicación de la pobreza extrema, la promoción de la igualdad de género y la creación de una asociación mundial para el</w:t>
            </w:r>
          </w:p>
        </w:tc>
      </w:tr>
      <w:tr w:rsidR="00B70620" w:rsidRPr="003E689E" w14:paraId="11444F7D" w14:textId="77777777" w:rsidTr="00B70620">
        <w:tc>
          <w:tcPr>
            <w:cnfStyle w:val="001000000000" w:firstRow="0" w:lastRow="0" w:firstColumn="1" w:lastColumn="0" w:oddVBand="0" w:evenVBand="0" w:oddHBand="0" w:evenHBand="0" w:firstRowFirstColumn="0" w:firstRowLastColumn="0" w:lastRowFirstColumn="0" w:lastRowLastColumn="0"/>
            <w:tcW w:w="1714" w:type="dxa"/>
          </w:tcPr>
          <w:p w14:paraId="0F4A4637"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bCs w:val="0"/>
                <w:color w:val="000000"/>
                <w:sz w:val="28"/>
                <w:szCs w:val="28"/>
              </w:rPr>
            </w:pPr>
            <w:r w:rsidRPr="003E689E">
              <w:rPr>
                <w:rFonts w:ascii="Georgia" w:eastAsiaTheme="minorHAnsi" w:hAnsi="Georgia" w:cs="Arial"/>
                <w:bCs w:val="0"/>
                <w:color w:val="000000"/>
                <w:sz w:val="28"/>
                <w:szCs w:val="28"/>
              </w:rPr>
              <w:lastRenderedPageBreak/>
              <w:t>Estrategias para superar  los principales retos</w:t>
            </w:r>
          </w:p>
        </w:tc>
        <w:tc>
          <w:tcPr>
            <w:cnfStyle w:val="000010000000" w:firstRow="0" w:lastRow="0" w:firstColumn="0" w:lastColumn="0" w:oddVBand="1" w:evenVBand="0" w:oddHBand="0" w:evenHBand="0" w:firstRowFirstColumn="0" w:firstRowLastColumn="0" w:lastRowFirstColumn="0" w:lastRowLastColumn="0"/>
            <w:tcW w:w="6802" w:type="dxa"/>
            <w:tcBorders>
              <w:left w:val="none" w:sz="0" w:space="0" w:color="auto"/>
              <w:bottom w:val="none" w:sz="0" w:space="0" w:color="auto"/>
              <w:right w:val="none" w:sz="0" w:space="0" w:color="auto"/>
            </w:tcBorders>
          </w:tcPr>
          <w:p w14:paraId="2F745245" w14:textId="77777777" w:rsidR="00B70620" w:rsidRPr="00EB59D1"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EB59D1">
              <w:rPr>
                <w:rFonts w:ascii="Georgia" w:hAnsi="Georgia" w:cs="Arial"/>
                <w:color w:val="000000"/>
                <w:sz w:val="28"/>
                <w:szCs w:val="28"/>
              </w:rPr>
              <w:t>Las principales estrategias aplicadas por Allianz y las lecciones aprendidas del proceso de desarrollo e implemenación de este negocio inclusivo enfatizan la importancia de:</w:t>
            </w:r>
          </w:p>
          <w:p w14:paraId="1C84F3F1" w14:textId="77777777" w:rsidR="00B70620" w:rsidRPr="003E689E" w:rsidRDefault="00B70620" w:rsidP="00B70620">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ind w:left="360"/>
              <w:jc w:val="both"/>
              <w:rPr>
                <w:rFonts w:ascii="Georgia" w:hAnsi="Georgia" w:cs="Arial"/>
                <w:color w:val="000000"/>
                <w:sz w:val="28"/>
                <w:szCs w:val="28"/>
              </w:rPr>
            </w:pPr>
            <w:r w:rsidRPr="003E689E">
              <w:rPr>
                <w:rFonts w:ascii="Georgia" w:hAnsi="Georgia" w:cs="Arial"/>
                <w:color w:val="000000"/>
                <w:sz w:val="28"/>
                <w:szCs w:val="28"/>
              </w:rPr>
              <w:t xml:space="preserve">Entender, a través de la investigación, cómo la gente usa los productos y servicios y cuáles son las necesidades de los indivuduos y sus familias en cada comunidad </w:t>
            </w:r>
          </w:p>
          <w:p w14:paraId="338F13FB" w14:textId="77777777" w:rsidR="00B70620" w:rsidRPr="003E689E" w:rsidRDefault="00B70620" w:rsidP="00B70620">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ind w:left="360"/>
              <w:jc w:val="both"/>
              <w:rPr>
                <w:rFonts w:ascii="Georgia" w:hAnsi="Georgia" w:cs="Arial"/>
                <w:color w:val="000000"/>
                <w:sz w:val="28"/>
                <w:szCs w:val="28"/>
              </w:rPr>
            </w:pPr>
            <w:r w:rsidRPr="003E689E">
              <w:rPr>
                <w:rFonts w:ascii="Georgia" w:hAnsi="Georgia" w:cs="Arial"/>
                <w:color w:val="000000"/>
                <w:sz w:val="28"/>
                <w:szCs w:val="28"/>
              </w:rPr>
              <w:t xml:space="preserve">Adaptar los productos de seguro a las necesidades y al nivel de ingresos de los mercados de bajos ingresos </w:t>
            </w:r>
          </w:p>
          <w:p w14:paraId="12FE5D34" w14:textId="77777777" w:rsidR="00B70620" w:rsidRPr="003E689E" w:rsidRDefault="00B70620" w:rsidP="00B70620">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Georgia" w:hAnsi="Georgia" w:cs="Arial"/>
                <w:color w:val="000000"/>
                <w:sz w:val="28"/>
                <w:szCs w:val="28"/>
              </w:rPr>
            </w:pPr>
            <w:r w:rsidRPr="003E689E">
              <w:rPr>
                <w:rFonts w:ascii="Georgia" w:hAnsi="Georgia" w:cs="Arial"/>
                <w:color w:val="000000"/>
                <w:sz w:val="28"/>
                <w:szCs w:val="28"/>
              </w:rPr>
              <w:t xml:space="preserve">Estar atento a las dinámicas culturales, incluyendo los símbolos de estatus y los roles de género </w:t>
            </w:r>
          </w:p>
          <w:p w14:paraId="434A3F46" w14:textId="77777777" w:rsidR="00B70620" w:rsidRPr="003E689E" w:rsidRDefault="00B70620" w:rsidP="00B70620">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Georgia" w:hAnsi="Georgia" w:cs="Arial"/>
                <w:b/>
                <w:color w:val="000000"/>
                <w:sz w:val="28"/>
                <w:szCs w:val="28"/>
              </w:rPr>
            </w:pPr>
            <w:r w:rsidRPr="003E689E">
              <w:rPr>
                <w:rFonts w:ascii="Georgia" w:hAnsi="Georgia" w:cs="Arial"/>
                <w:color w:val="000000"/>
                <w:sz w:val="28"/>
                <w:szCs w:val="28"/>
              </w:rPr>
              <w:t xml:space="preserve">Involucrar a los grupos de interés incluyendo ONGs y las comunidades en el </w:t>
            </w:r>
            <w:r w:rsidRPr="003E689E">
              <w:rPr>
                <w:rFonts w:ascii="Georgia" w:hAnsi="Georgia" w:cs="Arial"/>
                <w:color w:val="000000"/>
                <w:sz w:val="28"/>
                <w:szCs w:val="28"/>
              </w:rPr>
              <w:lastRenderedPageBreak/>
              <w:t>diseño de los productos</w:t>
            </w:r>
            <w:r w:rsidRPr="003E689E">
              <w:rPr>
                <w:rFonts w:ascii="Georgia" w:hAnsi="Georgia" w:cs="Arial"/>
                <w:b/>
                <w:color w:val="000000"/>
                <w:sz w:val="28"/>
                <w:szCs w:val="28"/>
              </w:rPr>
              <w:t xml:space="preserve"> y en su comercialización y distribución</w:t>
            </w:r>
          </w:p>
          <w:p w14:paraId="126A40CA" w14:textId="77777777" w:rsidR="00B70620" w:rsidRPr="003E689E" w:rsidRDefault="00B70620" w:rsidP="00B70620">
            <w:pPr>
              <w:pStyle w:val="ListParagraph"/>
              <w:widowControl w:val="0"/>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rPr>
                <w:rFonts w:ascii="Georgia" w:hAnsi="Georgia" w:cs="Arial"/>
                <w:color w:val="000000"/>
                <w:sz w:val="28"/>
                <w:szCs w:val="28"/>
              </w:rPr>
            </w:pPr>
            <w:r w:rsidRPr="003E689E">
              <w:rPr>
                <w:rFonts w:ascii="Georgia" w:hAnsi="Georgia" w:cs="Arial"/>
                <w:color w:val="000000"/>
                <w:sz w:val="28"/>
                <w:szCs w:val="28"/>
              </w:rPr>
              <w:t>Allianz involucró al PNUD (Programa de las Naciones Unidas para el Deasrollo) y a GTZ (ayuda bilateral alemana) para llevar a cabo estudios de mercado y analizar la demanda de microseguros en algunos países</w:t>
            </w:r>
          </w:p>
        </w:tc>
      </w:tr>
    </w:tbl>
    <w:p w14:paraId="7DEFEFAB" w14:textId="77777777" w:rsidR="00B70620" w:rsidRPr="003E689E" w:rsidRDefault="00B70620" w:rsidP="00B70620">
      <w:pPr>
        <w:pStyle w:val="Heading2"/>
        <w:spacing w:line="360" w:lineRule="auto"/>
        <w:jc w:val="both"/>
        <w:rPr>
          <w:rFonts w:ascii="Georgia" w:hAnsi="Georgia" w:cs="Arial"/>
        </w:rPr>
      </w:pPr>
    </w:p>
    <w:p w14:paraId="47948A73" w14:textId="77777777" w:rsidR="00F87264" w:rsidRPr="003E689E" w:rsidRDefault="00F87264" w:rsidP="007660E5">
      <w:pPr>
        <w:pStyle w:val="ebook-T2"/>
        <w:rPr>
          <w:rFonts w:ascii="Georgia" w:hAnsi="Georgia"/>
        </w:rPr>
      </w:pPr>
    </w:p>
    <w:p w14:paraId="289038E4" w14:textId="77777777" w:rsidR="00F87264" w:rsidRPr="003E689E" w:rsidRDefault="00F87264" w:rsidP="007660E5">
      <w:pPr>
        <w:pStyle w:val="ebook-T2"/>
        <w:rPr>
          <w:rFonts w:ascii="Georgia" w:hAnsi="Georgia"/>
        </w:rPr>
      </w:pPr>
    </w:p>
    <w:p w14:paraId="1D22720F" w14:textId="77777777" w:rsidR="00EF2C5E" w:rsidRPr="003E689E" w:rsidRDefault="00EF2C5E" w:rsidP="007660E5">
      <w:pPr>
        <w:pStyle w:val="ebook-T2"/>
        <w:rPr>
          <w:rFonts w:ascii="Georgia" w:hAnsi="Georgia"/>
        </w:rPr>
      </w:pPr>
    </w:p>
    <w:p w14:paraId="76927E67" w14:textId="77777777" w:rsidR="00315062" w:rsidRDefault="00315062" w:rsidP="007660E5">
      <w:pPr>
        <w:pStyle w:val="ebook-T2"/>
        <w:rPr>
          <w:rFonts w:ascii="Georgia" w:hAnsi="Georgia"/>
        </w:rPr>
      </w:pPr>
    </w:p>
    <w:p w14:paraId="6D083279" w14:textId="77777777" w:rsidR="00315062" w:rsidRDefault="00315062" w:rsidP="007660E5">
      <w:pPr>
        <w:pStyle w:val="ebook-T2"/>
        <w:rPr>
          <w:rFonts w:ascii="Georgia" w:hAnsi="Georgia"/>
        </w:rPr>
      </w:pPr>
    </w:p>
    <w:p w14:paraId="6E852BF0" w14:textId="77777777" w:rsidR="00315062" w:rsidRDefault="00315062" w:rsidP="007660E5">
      <w:pPr>
        <w:pStyle w:val="ebook-T2"/>
        <w:rPr>
          <w:rFonts w:ascii="Georgia" w:hAnsi="Georgia"/>
        </w:rPr>
      </w:pPr>
    </w:p>
    <w:p w14:paraId="05F38A41" w14:textId="77777777" w:rsidR="00315062" w:rsidRDefault="00315062" w:rsidP="007660E5">
      <w:pPr>
        <w:pStyle w:val="ebook-T2"/>
        <w:rPr>
          <w:rFonts w:ascii="Georgia" w:hAnsi="Georgia"/>
        </w:rPr>
      </w:pPr>
    </w:p>
    <w:p w14:paraId="6B0BA106" w14:textId="77777777" w:rsidR="00315062" w:rsidRDefault="00315062" w:rsidP="007660E5">
      <w:pPr>
        <w:pStyle w:val="ebook-T2"/>
        <w:rPr>
          <w:rFonts w:ascii="Georgia" w:hAnsi="Georgia"/>
        </w:rPr>
      </w:pPr>
    </w:p>
    <w:p w14:paraId="382D52F9" w14:textId="77777777" w:rsidR="00315062" w:rsidRDefault="00315062" w:rsidP="007660E5">
      <w:pPr>
        <w:pStyle w:val="ebook-T2"/>
        <w:rPr>
          <w:rFonts w:ascii="Georgia" w:hAnsi="Georgia"/>
        </w:rPr>
      </w:pPr>
    </w:p>
    <w:p w14:paraId="3DD4F499" w14:textId="77777777" w:rsidR="00315062" w:rsidRDefault="00315062" w:rsidP="007660E5">
      <w:pPr>
        <w:pStyle w:val="ebook-T2"/>
        <w:rPr>
          <w:rFonts w:ascii="Georgia" w:hAnsi="Georgia"/>
        </w:rPr>
      </w:pPr>
    </w:p>
    <w:p w14:paraId="2DB858C4" w14:textId="77777777" w:rsidR="00315062" w:rsidRDefault="00315062" w:rsidP="007660E5">
      <w:pPr>
        <w:pStyle w:val="ebook-T2"/>
        <w:rPr>
          <w:rFonts w:ascii="Georgia" w:hAnsi="Georgia"/>
        </w:rPr>
      </w:pPr>
    </w:p>
    <w:p w14:paraId="78CA70EC" w14:textId="7DD3AB4E" w:rsidR="00B70620" w:rsidRDefault="00F87264" w:rsidP="007660E5">
      <w:pPr>
        <w:pStyle w:val="ebook-T2"/>
        <w:rPr>
          <w:rFonts w:ascii="Georgia" w:hAnsi="Georgia"/>
        </w:rPr>
      </w:pPr>
      <w:bookmarkStart w:id="22" w:name="_Toc291670212"/>
      <w:r w:rsidRPr="003E689E">
        <w:rPr>
          <w:rFonts w:ascii="Georgia" w:hAnsi="Georgia"/>
        </w:rPr>
        <w:lastRenderedPageBreak/>
        <w:t xml:space="preserve">CASO 2. </w:t>
      </w:r>
      <w:r w:rsidR="00B70620" w:rsidRPr="003E689E">
        <w:rPr>
          <w:rFonts w:ascii="Georgia" w:hAnsi="Georgia"/>
        </w:rPr>
        <w:t>INCLUYENDO A  COMUNIDADES TRADICIONALES DEL AMAZONAS COMO PROVEEDORES DE MATERIAS PRIMAS: NATURA</w:t>
      </w:r>
      <w:r w:rsidR="002803D3">
        <w:rPr>
          <w:rStyle w:val="FootnoteReference"/>
          <w:rFonts w:ascii="Georgia" w:hAnsi="Georgia"/>
        </w:rPr>
        <w:footnoteReference w:id="2"/>
      </w:r>
      <w:bookmarkEnd w:id="22"/>
    </w:p>
    <w:p w14:paraId="6D2FCD3D" w14:textId="7D66C1CA" w:rsidR="00CC3D89" w:rsidRPr="003E689E" w:rsidRDefault="002A7AEC" w:rsidP="007660E5">
      <w:pPr>
        <w:pStyle w:val="ebook-T2"/>
        <w:rPr>
          <w:rFonts w:ascii="Georgia" w:hAnsi="Georgia"/>
        </w:rPr>
      </w:pPr>
      <w:r w:rsidRPr="002A7AEC">
        <w:rPr>
          <w:noProof/>
          <w:lang w:val="en-US"/>
        </w:rPr>
        <w:drawing>
          <wp:inline distT="0" distB="0" distL="0" distR="0" wp14:anchorId="14A37F00" wp14:editId="37824DF8">
            <wp:extent cx="5396230" cy="2858824"/>
            <wp:effectExtent l="0" t="0" r="0" b="11430"/>
            <wp:docPr id="133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230" cy="2858824"/>
                    </a:xfrm>
                    <a:prstGeom prst="rect">
                      <a:avLst/>
                    </a:prstGeom>
                    <a:noFill/>
                    <a:ln>
                      <a:noFill/>
                    </a:ln>
                  </pic:spPr>
                </pic:pic>
              </a:graphicData>
            </a:graphic>
          </wp:inline>
        </w:drawing>
      </w:r>
    </w:p>
    <w:p w14:paraId="095B0D0B" w14:textId="77777777" w:rsidR="00B70620" w:rsidRPr="003E689E" w:rsidRDefault="00B70620"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b/>
          <w:color w:val="000000"/>
        </w:rPr>
      </w:pPr>
    </w:p>
    <w:tbl>
      <w:tblPr>
        <w:tblStyle w:val="LightList-Accent2"/>
        <w:tblW w:w="8789" w:type="dxa"/>
        <w:tblLook w:val="04A0" w:firstRow="1" w:lastRow="0" w:firstColumn="1" w:lastColumn="0" w:noHBand="0" w:noVBand="1"/>
      </w:tblPr>
      <w:tblGrid>
        <w:gridCol w:w="2467"/>
        <w:gridCol w:w="6322"/>
      </w:tblGrid>
      <w:tr w:rsidR="00B70620" w:rsidRPr="003E689E" w14:paraId="50087769" w14:textId="77777777" w:rsidTr="00B7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0510037D"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bCs w:val="0"/>
                <w:sz w:val="28"/>
                <w:szCs w:val="28"/>
              </w:rPr>
            </w:pPr>
            <w:r w:rsidRPr="003E689E">
              <w:rPr>
                <w:rFonts w:ascii="Georgia" w:hAnsi="Georgia" w:cs="Arial"/>
                <w:bCs w:val="0"/>
                <w:sz w:val="28"/>
                <w:szCs w:val="28"/>
              </w:rPr>
              <w:t>Empresa</w:t>
            </w:r>
          </w:p>
        </w:tc>
        <w:tc>
          <w:tcPr>
            <w:tcW w:w="6322" w:type="dxa"/>
          </w:tcPr>
          <w:p w14:paraId="2B5AA8BF" w14:textId="2767B896" w:rsidR="00B70620" w:rsidRPr="003E689E" w:rsidRDefault="00B70620" w:rsidP="00B70620">
            <w:pPr>
              <w:spacing w:line="360" w:lineRule="auto"/>
              <w:jc w:val="both"/>
              <w:cnfStyle w:val="100000000000" w:firstRow="1" w:lastRow="0" w:firstColumn="0" w:lastColumn="0" w:oddVBand="0" w:evenVBand="0" w:oddHBand="0" w:evenHBand="0" w:firstRowFirstColumn="0" w:firstRowLastColumn="0" w:lastRowFirstColumn="0" w:lastRowLastColumn="0"/>
              <w:rPr>
                <w:rFonts w:ascii="Georgia" w:hAnsi="Georgia" w:cs="Arial"/>
                <w:b w:val="0"/>
                <w:sz w:val="28"/>
                <w:szCs w:val="28"/>
              </w:rPr>
            </w:pPr>
            <w:r w:rsidRPr="003E689E">
              <w:rPr>
                <w:rFonts w:ascii="Georgia" w:hAnsi="Georgia" w:cs="Arial"/>
                <w:b w:val="0"/>
                <w:sz w:val="28"/>
                <w:szCs w:val="28"/>
              </w:rPr>
              <w:t>NATURA</w:t>
            </w:r>
          </w:p>
        </w:tc>
      </w:tr>
      <w:tr w:rsidR="003E689E" w:rsidRPr="003E689E" w14:paraId="5C28F14E"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3FDC8A47" w14:textId="7F6EA9C7" w:rsidR="003E689E" w:rsidRPr="003E689E" w:rsidRDefault="003E689E"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bCs w:val="0"/>
                <w:color w:val="000000"/>
                <w:sz w:val="28"/>
                <w:szCs w:val="28"/>
              </w:rPr>
            </w:pPr>
            <w:r>
              <w:rPr>
                <w:rFonts w:ascii="Georgia" w:hAnsi="Georgia" w:cs="Arial"/>
                <w:bCs w:val="0"/>
                <w:color w:val="000000"/>
                <w:sz w:val="28"/>
                <w:szCs w:val="28"/>
              </w:rPr>
              <w:t>Perfil empresarial</w:t>
            </w:r>
          </w:p>
        </w:tc>
        <w:tc>
          <w:tcPr>
            <w:tcW w:w="6322" w:type="dxa"/>
          </w:tcPr>
          <w:p w14:paraId="0AB1A58E" w14:textId="29BE2A6F" w:rsidR="003E689E" w:rsidRPr="003E689E" w:rsidRDefault="003E689E"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8"/>
                <w:szCs w:val="28"/>
              </w:rPr>
            </w:pPr>
            <w:r w:rsidRPr="003E689E">
              <w:rPr>
                <w:rFonts w:ascii="Georgia" w:hAnsi="Georgia" w:cs="Arial"/>
                <w:sz w:val="28"/>
                <w:szCs w:val="28"/>
              </w:rPr>
              <w:t>Natura es una marca  de cosméticos de origen brasileño presente en siete países de América Latina y en Francia y España.</w:t>
            </w:r>
          </w:p>
        </w:tc>
      </w:tr>
      <w:tr w:rsidR="00B70620" w:rsidRPr="003E689E" w14:paraId="333BAF74" w14:textId="77777777" w:rsidTr="00B70620">
        <w:tc>
          <w:tcPr>
            <w:cnfStyle w:val="001000000000" w:firstRow="0" w:lastRow="0" w:firstColumn="1" w:lastColumn="0" w:oddVBand="0" w:evenVBand="0" w:oddHBand="0" w:evenHBand="0" w:firstRowFirstColumn="0" w:firstRowLastColumn="0" w:lastRowFirstColumn="0" w:lastRowLastColumn="0"/>
            <w:tcW w:w="2467" w:type="dxa"/>
          </w:tcPr>
          <w:p w14:paraId="6FD9D0AE"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bCs w:val="0"/>
                <w:color w:val="000000"/>
                <w:sz w:val="28"/>
                <w:szCs w:val="28"/>
              </w:rPr>
              <w:t>Concepto de negocio inclusivo</w:t>
            </w:r>
          </w:p>
        </w:tc>
        <w:tc>
          <w:tcPr>
            <w:tcW w:w="6322" w:type="dxa"/>
          </w:tcPr>
          <w:p w14:paraId="160E0753" w14:textId="4D7E7B32"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En el año 2000, Natura lanzó la línea de productos (EKOS), que utiliza la biodiversidad brasileña trabajando con comunidades locales como negocio y como plataforma de innovación.</w:t>
            </w:r>
          </w:p>
        </w:tc>
      </w:tr>
      <w:tr w:rsidR="00B70620" w:rsidRPr="003E689E" w14:paraId="7A1327BD"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13C6C6BE"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bCs w:val="0"/>
                <w:color w:val="000000"/>
                <w:sz w:val="28"/>
                <w:szCs w:val="28"/>
              </w:rPr>
            </w:pPr>
            <w:r w:rsidRPr="003E689E">
              <w:rPr>
                <w:rFonts w:ascii="Georgia" w:hAnsi="Georgia" w:cs="Arial"/>
                <w:bCs w:val="0"/>
                <w:color w:val="000000"/>
                <w:sz w:val="28"/>
                <w:szCs w:val="28"/>
              </w:rPr>
              <w:lastRenderedPageBreak/>
              <w:t>Oportunidades</w:t>
            </w:r>
          </w:p>
          <w:p w14:paraId="4BC31315"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ab/>
            </w:r>
          </w:p>
        </w:tc>
        <w:tc>
          <w:tcPr>
            <w:tcW w:w="6322" w:type="dxa"/>
          </w:tcPr>
          <w:p w14:paraId="7CD9E832" w14:textId="3FE357DF"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8"/>
                <w:szCs w:val="28"/>
              </w:rPr>
            </w:pPr>
            <w:r w:rsidRPr="003E689E">
              <w:rPr>
                <w:rFonts w:ascii="Georgia" w:hAnsi="Georgia" w:cs="Arial"/>
                <w:b/>
                <w:color w:val="000000"/>
                <w:sz w:val="28"/>
                <w:szCs w:val="28"/>
              </w:rPr>
              <w:t>Para Natura:</w:t>
            </w:r>
            <w:r w:rsidRPr="003E689E">
              <w:rPr>
                <w:rFonts w:ascii="Georgia" w:hAnsi="Georgia" w:cs="Arial"/>
                <w:color w:val="000000"/>
                <w:sz w:val="28"/>
                <w:szCs w:val="28"/>
              </w:rPr>
              <w:t xml:space="preserve"> Interés por parte de la empresa por realzar el valor de su marca y por hacer crecer sus ventas mientras que cumple con sus compromisos de responsabilidad con el medio ambiente y justicia social, incluyendo apoyo a las comunidades de bajos ingresos de la región Amazónica.</w:t>
            </w:r>
          </w:p>
          <w:p w14:paraId="4EADBC07"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8"/>
                <w:szCs w:val="28"/>
              </w:rPr>
            </w:pPr>
            <w:r w:rsidRPr="003E689E">
              <w:rPr>
                <w:rFonts w:ascii="Georgia" w:hAnsi="Georgia" w:cs="Arial"/>
                <w:b/>
                <w:color w:val="000000"/>
                <w:sz w:val="28"/>
                <w:szCs w:val="28"/>
              </w:rPr>
              <w:t>Para la comunidad:</w:t>
            </w:r>
            <w:r w:rsidRPr="003E689E">
              <w:rPr>
                <w:rFonts w:ascii="Georgia" w:hAnsi="Georgia" w:cs="Arial"/>
                <w:color w:val="000000"/>
                <w:sz w:val="28"/>
                <w:szCs w:val="28"/>
              </w:rPr>
              <w:t xml:space="preserve"> Creando trabajo en las comunidades y estableciendo puentes entre las diversas áreas de Natura y los grupos de agricultores familiares organizados en asociaciones y cooperativas.</w:t>
            </w:r>
          </w:p>
        </w:tc>
      </w:tr>
      <w:tr w:rsidR="00B70620" w:rsidRPr="003E689E" w14:paraId="72047504" w14:textId="77777777" w:rsidTr="00B70620">
        <w:tc>
          <w:tcPr>
            <w:cnfStyle w:val="001000000000" w:firstRow="0" w:lastRow="0" w:firstColumn="1" w:lastColumn="0" w:oddVBand="0" w:evenVBand="0" w:oddHBand="0" w:evenHBand="0" w:firstRowFirstColumn="0" w:firstRowLastColumn="0" w:lastRowFirstColumn="0" w:lastRowLastColumn="0"/>
            <w:tcW w:w="2467" w:type="dxa"/>
          </w:tcPr>
          <w:p w14:paraId="4BE87DA3"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bCs w:val="0"/>
                <w:color w:val="000000"/>
                <w:sz w:val="28"/>
                <w:szCs w:val="28"/>
              </w:rPr>
              <w:t>¿Cómo lo ha hecho?</w:t>
            </w:r>
          </w:p>
        </w:tc>
        <w:tc>
          <w:tcPr>
            <w:tcW w:w="6322" w:type="dxa"/>
          </w:tcPr>
          <w:p w14:paraId="3128B959"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 xml:space="preserve">Alcanzar a las comunidades que suministran materia prima y asegurarando que estos materiales se extraen o plantan de manera sostenible durante toda la cadena de producción requiere conocimientos específicos y partnerships. </w:t>
            </w:r>
          </w:p>
          <w:p w14:paraId="025B4ABA"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 xml:space="preserve">Natura cuenta con un equipo de antropólogos, científicos sociales, sicólogos, economistas, biólogos y administradores en Natura que se ocupan de las relaciones con los 26 grupos de pequeños productores rurales que se encuentran a lo largo y a lo ancho de Brasil y del exterior, que cosechan activos naturales tales como el buriti, la castaña, el açaí entre muchos otros que serán </w:t>
            </w:r>
            <w:r w:rsidRPr="003E689E">
              <w:rPr>
                <w:rFonts w:ascii="Georgia" w:hAnsi="Georgia" w:cs="Arial"/>
                <w:color w:val="000000"/>
                <w:sz w:val="28"/>
                <w:szCs w:val="28"/>
              </w:rPr>
              <w:lastRenderedPageBreak/>
              <w:t>usados en los productos de la marca.</w:t>
            </w:r>
          </w:p>
          <w:p w14:paraId="034E685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Para evaluar los vínculos con las comunidadades Natura diseñó un  Sistema de Calidad de Relaciones.</w:t>
            </w:r>
          </w:p>
        </w:tc>
      </w:tr>
      <w:tr w:rsidR="00B70620" w:rsidRPr="003E689E" w14:paraId="7CBC7858"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300A14E2"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bCs w:val="0"/>
                <w:color w:val="000000"/>
                <w:sz w:val="28"/>
                <w:szCs w:val="28"/>
              </w:rPr>
              <w:lastRenderedPageBreak/>
              <w:t>Resultados</w:t>
            </w:r>
          </w:p>
        </w:tc>
        <w:tc>
          <w:tcPr>
            <w:tcW w:w="6322" w:type="dxa"/>
          </w:tcPr>
          <w:p w14:paraId="0DCFECCF"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 xml:space="preserve">Actualmente, EKOS cuenta como el 10% de las ventas de Natura y le agrega valor a la marca. Natura tiene 56 acuerdos de suministros de activos naturales con empresas, granjas y comunidades en Brasil y América Latina. De estos, 19 son con comunidades tradicionales y proveedores locales de materia prima. </w:t>
            </w:r>
          </w:p>
        </w:tc>
      </w:tr>
      <w:tr w:rsidR="00B70620" w:rsidRPr="003E689E" w14:paraId="3E875B41" w14:textId="77777777" w:rsidTr="00B70620">
        <w:tc>
          <w:tcPr>
            <w:cnfStyle w:val="001000000000" w:firstRow="0" w:lastRow="0" w:firstColumn="1" w:lastColumn="0" w:oddVBand="0" w:evenVBand="0" w:oddHBand="0" w:evenHBand="0" w:firstRowFirstColumn="0" w:firstRowLastColumn="0" w:lastRowFirstColumn="0" w:lastRowLastColumn="0"/>
            <w:tcW w:w="2467" w:type="dxa"/>
          </w:tcPr>
          <w:p w14:paraId="6561BC2E"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eastAsiaTheme="minorHAnsi" w:hAnsi="Georgia" w:cs="Arial"/>
                <w:bCs w:val="0"/>
                <w:color w:val="000000"/>
                <w:sz w:val="28"/>
                <w:szCs w:val="28"/>
              </w:rPr>
            </w:pPr>
            <w:r w:rsidRPr="003E689E">
              <w:rPr>
                <w:rFonts w:ascii="Georgia" w:eastAsiaTheme="minorHAnsi" w:hAnsi="Georgia" w:cs="Arial"/>
                <w:bCs w:val="0"/>
                <w:color w:val="000000"/>
                <w:sz w:val="28"/>
                <w:szCs w:val="28"/>
              </w:rPr>
              <w:t>¿Cómo ha solucionado los principales retos?</w:t>
            </w:r>
          </w:p>
          <w:p w14:paraId="717D266C"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rFonts w:ascii="Georgia" w:hAnsi="Georgia" w:cs="Arial"/>
                <w:bCs w:val="0"/>
                <w:color w:val="000000"/>
                <w:sz w:val="28"/>
                <w:szCs w:val="28"/>
              </w:rPr>
            </w:pPr>
          </w:p>
        </w:tc>
        <w:tc>
          <w:tcPr>
            <w:tcW w:w="6322" w:type="dxa"/>
          </w:tcPr>
          <w:p w14:paraId="6937E4C8"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Algunas de las lecciones aprendidas de este negocio inclusivo demuestran la importancia de:</w:t>
            </w:r>
          </w:p>
          <w:p w14:paraId="2050CE0F" w14:textId="77777777" w:rsidR="00B70620" w:rsidRPr="003E689E" w:rsidRDefault="00B70620" w:rsidP="00B70620">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Identificar las técnicas locales y encontrar maneras de apalancarlas e introducirlas en la cadena de valor: los agricultores locales conocen bien algunos tipos de activos naturales y cómo procesarlos e incluir ese conocimiento en la fabricación de los productos EKO ha contribuido a mejorarlos.</w:t>
            </w:r>
          </w:p>
          <w:p w14:paraId="56FDE386" w14:textId="77777777" w:rsidR="00B70620" w:rsidRPr="003E689E" w:rsidRDefault="00B70620" w:rsidP="00B70620">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Construir técnicas y capacidades nuevas junto con los productores, combinando el conocimiento local con las técnicas más sofisticadas de Natura.</w:t>
            </w:r>
          </w:p>
          <w:p w14:paraId="650E6FDB" w14:textId="77777777" w:rsidR="00B70620" w:rsidRPr="003E689E" w:rsidRDefault="00B70620" w:rsidP="00B70620">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lastRenderedPageBreak/>
              <w:t>Apoyar la educación primaria y secundaria en las comunidades</w:t>
            </w:r>
          </w:p>
          <w:p w14:paraId="75E61F23" w14:textId="77777777" w:rsidR="00B70620" w:rsidRPr="003E689E" w:rsidRDefault="00B70620" w:rsidP="00B70620">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Actuar como fiadores de préstamos micro o medianos para los proveedores</w:t>
            </w:r>
          </w:p>
          <w:p w14:paraId="18458837" w14:textId="77777777" w:rsidR="00B70620" w:rsidRPr="003E689E" w:rsidRDefault="00B70620" w:rsidP="00B70620">
            <w:pPr>
              <w:pStyle w:val="ListParagraph"/>
              <w:widowControl w:val="0"/>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 xml:space="preserve">Abogar por ambientes reguladores que apoyan a las PYMEs </w:t>
            </w:r>
          </w:p>
        </w:tc>
      </w:tr>
    </w:tbl>
    <w:p w14:paraId="64F8EC22" w14:textId="77777777" w:rsidR="00180A8A" w:rsidRDefault="00180A8A" w:rsidP="007660E5">
      <w:pPr>
        <w:pStyle w:val="ebook-T2"/>
        <w:rPr>
          <w:rFonts w:ascii="Georgia" w:hAnsi="Georgia"/>
        </w:rPr>
      </w:pPr>
    </w:p>
    <w:p w14:paraId="031580A7" w14:textId="77777777" w:rsidR="005F2971" w:rsidRDefault="005F2971" w:rsidP="007660E5">
      <w:pPr>
        <w:pStyle w:val="ebook-T2"/>
        <w:rPr>
          <w:rFonts w:ascii="Georgia" w:hAnsi="Georgia"/>
        </w:rPr>
      </w:pPr>
    </w:p>
    <w:p w14:paraId="0C87A359"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4A92448E"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685CD067"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680F5FFE"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30E27E7F"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7C1BA533"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4B9D9847"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77E7B448"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0EFC1BDB"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78C55109"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44C2B41D"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7C84A176"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07331F69"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4F48B637"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3383493A"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4E9D0977"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7980FA6F"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4BB3F0EF"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512EE1C8"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0E989126"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0E0509F7"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725C142E"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517F258A"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64147D37" w14:textId="77777777" w:rsidR="005F2971" w:rsidRDefault="005F2971" w:rsidP="005F2971">
      <w:pPr>
        <w:pStyle w:val="ebook-T2"/>
        <w:rPr>
          <w:rFonts w:ascii="Georgia" w:hAnsi="Georgia"/>
        </w:rPr>
      </w:pPr>
      <w:r>
        <w:rPr>
          <w:rFonts w:ascii="Georgia" w:hAnsi="Georgia"/>
        </w:rPr>
        <w:t xml:space="preserve">  </w:t>
      </w:r>
      <w:bookmarkStart w:id="23" w:name="_Toc291670213"/>
      <w:r w:rsidRPr="003E689E">
        <w:rPr>
          <w:rFonts w:ascii="Georgia" w:hAnsi="Georgia"/>
        </w:rPr>
        <w:t>CASO 3. INCLUYENDO A LA BASE DE LA PIRÁMIDE COMO DISTRIBUIDORES EN AFRICA: COCA-COLA</w:t>
      </w:r>
      <w:bookmarkEnd w:id="23"/>
      <w:r w:rsidRPr="003E689E">
        <w:rPr>
          <w:rFonts w:ascii="Georgia" w:hAnsi="Georgia"/>
        </w:rPr>
        <w:t xml:space="preserve"> </w:t>
      </w:r>
    </w:p>
    <w:p w14:paraId="7242247C" w14:textId="5A36AA4C" w:rsidR="005F2971" w:rsidRPr="005F2971" w:rsidRDefault="005F2971" w:rsidP="005F2971">
      <w:pPr>
        <w:pStyle w:val="ebook-T2"/>
        <w:rPr>
          <w:rFonts w:ascii="Georgia" w:hAnsi="Georgia"/>
        </w:rPr>
      </w:pPr>
      <w:r>
        <w:rPr>
          <w:rFonts w:ascii="Helvetica" w:hAnsi="Helvetica" w:cs="Helvetica"/>
          <w:noProof/>
          <w:sz w:val="24"/>
          <w:szCs w:val="24"/>
          <w:lang w:val="en-US"/>
        </w:rPr>
        <w:drawing>
          <wp:inline distT="0" distB="0" distL="0" distR="0" wp14:anchorId="11BCBBA7" wp14:editId="1077B46C">
            <wp:extent cx="5396230" cy="2716007"/>
            <wp:effectExtent l="0" t="0" r="0" b="1905"/>
            <wp:docPr id="133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6230" cy="2716007"/>
                    </a:xfrm>
                    <a:prstGeom prst="rect">
                      <a:avLst/>
                    </a:prstGeom>
                    <a:noFill/>
                    <a:ln>
                      <a:noFill/>
                    </a:ln>
                  </pic:spPr>
                </pic:pic>
              </a:graphicData>
            </a:graphic>
          </wp:inline>
        </w:drawing>
      </w:r>
    </w:p>
    <w:p w14:paraId="6E7EA1E7" w14:textId="77777777" w:rsidR="005F2971"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p w14:paraId="0B161AAD" w14:textId="77777777" w:rsidR="005F2971" w:rsidRPr="003E689E" w:rsidRDefault="005F2971"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
          <w:color w:val="000000"/>
        </w:rPr>
      </w:pPr>
    </w:p>
    <w:tbl>
      <w:tblPr>
        <w:tblStyle w:val="LightList-Accent2"/>
        <w:tblW w:w="8789" w:type="dxa"/>
        <w:tblLayout w:type="fixed"/>
        <w:tblLook w:val="04A0" w:firstRow="1" w:lastRow="0" w:firstColumn="1" w:lastColumn="0" w:noHBand="0" w:noVBand="1"/>
      </w:tblPr>
      <w:tblGrid>
        <w:gridCol w:w="2410"/>
        <w:gridCol w:w="6379"/>
      </w:tblGrid>
      <w:tr w:rsidR="00B70620" w:rsidRPr="003E689E" w14:paraId="2C509073" w14:textId="77777777" w:rsidTr="00B7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F23FE74" w14:textId="77777777" w:rsidR="00B70620" w:rsidRPr="00663D8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Cs w:val="0"/>
                <w:sz w:val="36"/>
                <w:szCs w:val="36"/>
              </w:rPr>
            </w:pPr>
            <w:r w:rsidRPr="00663D8E">
              <w:rPr>
                <w:rFonts w:ascii="Georgia" w:hAnsi="Georgia" w:cs="Arial"/>
                <w:bCs w:val="0"/>
                <w:sz w:val="36"/>
                <w:szCs w:val="36"/>
              </w:rPr>
              <w:t>Empresa</w:t>
            </w:r>
          </w:p>
        </w:tc>
        <w:tc>
          <w:tcPr>
            <w:tcW w:w="6379" w:type="dxa"/>
          </w:tcPr>
          <w:p w14:paraId="0526607F" w14:textId="54287467" w:rsidR="00B70620" w:rsidRPr="00663D8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Georgia" w:hAnsi="Georgia" w:cs="Arial"/>
                <w:b w:val="0"/>
                <w:bCs w:val="0"/>
                <w:sz w:val="36"/>
                <w:szCs w:val="36"/>
              </w:rPr>
            </w:pPr>
            <w:r w:rsidRPr="00663D8E">
              <w:rPr>
                <w:rFonts w:ascii="Georgia" w:hAnsi="Georgia" w:cs="Arial"/>
                <w:b w:val="0"/>
                <w:bCs w:val="0"/>
                <w:sz w:val="36"/>
                <w:szCs w:val="36"/>
              </w:rPr>
              <w:t>COCA-COLA</w:t>
            </w:r>
          </w:p>
        </w:tc>
      </w:tr>
      <w:tr w:rsidR="003E689E" w:rsidRPr="003E689E" w14:paraId="49FE37B8"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9D98795" w14:textId="48380013" w:rsidR="003E689E" w:rsidRPr="003E689E" w:rsidRDefault="003E689E"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bCs w:val="0"/>
                <w:color w:val="000000"/>
                <w:sz w:val="28"/>
                <w:szCs w:val="28"/>
              </w:rPr>
            </w:pPr>
            <w:r>
              <w:rPr>
                <w:rFonts w:ascii="Georgia" w:hAnsi="Georgia" w:cs="Arial"/>
                <w:bCs w:val="0"/>
                <w:color w:val="000000"/>
                <w:sz w:val="28"/>
                <w:szCs w:val="28"/>
              </w:rPr>
              <w:t>Perfil empresarial</w:t>
            </w:r>
          </w:p>
        </w:tc>
        <w:tc>
          <w:tcPr>
            <w:tcW w:w="6379" w:type="dxa"/>
          </w:tcPr>
          <w:p w14:paraId="49332423" w14:textId="38AC61FD" w:rsidR="003E689E" w:rsidRPr="003E689E" w:rsidRDefault="003E689E"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8"/>
                <w:szCs w:val="28"/>
              </w:rPr>
            </w:pPr>
            <w:r w:rsidRPr="003E689E">
              <w:rPr>
                <w:rFonts w:ascii="Georgia" w:hAnsi="Georgia" w:cs="Arial"/>
                <w:bCs/>
                <w:sz w:val="28"/>
                <w:szCs w:val="28"/>
              </w:rPr>
              <w:t>Coca-Cola</w:t>
            </w:r>
            <w:r w:rsidRPr="003E689E">
              <w:rPr>
                <w:rFonts w:ascii="Georgia" w:hAnsi="Georgia" w:cs="Arial"/>
                <w:b/>
                <w:bCs/>
                <w:sz w:val="28"/>
                <w:szCs w:val="28"/>
              </w:rPr>
              <w:t xml:space="preserve"> </w:t>
            </w:r>
            <w:r w:rsidRPr="003E689E">
              <w:rPr>
                <w:rFonts w:ascii="Georgia" w:hAnsi="Georgia" w:cs="Arial"/>
                <w:sz w:val="28"/>
                <w:szCs w:val="28"/>
              </w:rPr>
              <w:t xml:space="preserve">es una corporación </w:t>
            </w:r>
            <w:hyperlink r:id="rId42" w:history="1">
              <w:r w:rsidRPr="003E689E">
                <w:rPr>
                  <w:rFonts w:ascii="Georgia" w:hAnsi="Georgia" w:cs="Arial"/>
                  <w:sz w:val="28"/>
                  <w:szCs w:val="28"/>
                </w:rPr>
                <w:t>multinacional</w:t>
              </w:r>
            </w:hyperlink>
            <w:r w:rsidRPr="003E689E">
              <w:rPr>
                <w:rFonts w:ascii="Georgia" w:hAnsi="Georgia" w:cs="Arial"/>
                <w:sz w:val="28"/>
                <w:szCs w:val="28"/>
              </w:rPr>
              <w:t xml:space="preserve"> dedicada a la elaboración de </w:t>
            </w:r>
            <w:hyperlink r:id="rId43" w:history="1">
              <w:r w:rsidRPr="003E689E">
                <w:rPr>
                  <w:rFonts w:ascii="Georgia" w:hAnsi="Georgia" w:cs="Arial"/>
                  <w:sz w:val="28"/>
                  <w:szCs w:val="28"/>
                </w:rPr>
                <w:t>bebidas</w:t>
              </w:r>
            </w:hyperlink>
            <w:r w:rsidRPr="003E689E">
              <w:rPr>
                <w:rFonts w:ascii="Georgia" w:hAnsi="Georgia" w:cs="Arial"/>
                <w:sz w:val="28"/>
                <w:szCs w:val="28"/>
              </w:rPr>
              <w:t xml:space="preserve"> y </w:t>
            </w:r>
            <w:hyperlink r:id="rId44" w:history="1">
              <w:r w:rsidRPr="003E689E">
                <w:rPr>
                  <w:rFonts w:ascii="Georgia" w:hAnsi="Georgia" w:cs="Arial"/>
                  <w:sz w:val="28"/>
                  <w:szCs w:val="28"/>
                </w:rPr>
                <w:t>alimentos</w:t>
              </w:r>
            </w:hyperlink>
            <w:r w:rsidRPr="003E689E">
              <w:rPr>
                <w:rFonts w:ascii="Georgia" w:hAnsi="Georgia" w:cs="Arial"/>
                <w:sz w:val="28"/>
                <w:szCs w:val="28"/>
              </w:rPr>
              <w:t xml:space="preserve">. Con sede en </w:t>
            </w:r>
            <w:hyperlink r:id="rId45" w:history="1">
              <w:r w:rsidRPr="003E689E">
                <w:rPr>
                  <w:rFonts w:ascii="Georgia" w:hAnsi="Georgia" w:cs="Arial"/>
                  <w:sz w:val="28"/>
                  <w:szCs w:val="28"/>
                </w:rPr>
                <w:t>Atlanta</w:t>
              </w:r>
            </w:hyperlink>
            <w:r w:rsidRPr="003E689E">
              <w:rPr>
                <w:rFonts w:ascii="Georgia" w:hAnsi="Georgia" w:cs="Arial"/>
                <w:sz w:val="28"/>
                <w:szCs w:val="28"/>
              </w:rPr>
              <w:t xml:space="preserve">, el principal producto es el </w:t>
            </w:r>
            <w:hyperlink r:id="rId46" w:history="1">
              <w:r w:rsidRPr="003E689E">
                <w:rPr>
                  <w:rFonts w:ascii="Georgia" w:hAnsi="Georgia" w:cs="Arial"/>
                  <w:sz w:val="28"/>
                  <w:szCs w:val="28"/>
                </w:rPr>
                <w:t>refresco</w:t>
              </w:r>
            </w:hyperlink>
            <w:r w:rsidRPr="003E689E">
              <w:rPr>
                <w:rFonts w:ascii="Georgia" w:hAnsi="Georgia" w:cs="Arial"/>
                <w:sz w:val="28"/>
                <w:szCs w:val="28"/>
              </w:rPr>
              <w:t xml:space="preserve"> más consumido del mundo: la </w:t>
            </w:r>
            <w:hyperlink r:id="rId47" w:history="1">
              <w:r w:rsidRPr="003E689E">
                <w:rPr>
                  <w:rFonts w:ascii="Georgia" w:hAnsi="Georgia" w:cs="Arial"/>
                  <w:sz w:val="28"/>
                  <w:szCs w:val="28"/>
                </w:rPr>
                <w:t>Coca-Cola</w:t>
              </w:r>
            </w:hyperlink>
            <w:r w:rsidRPr="003E689E">
              <w:rPr>
                <w:rFonts w:ascii="Georgia" w:hAnsi="Georgia" w:cs="Arial"/>
                <w:sz w:val="28"/>
                <w:szCs w:val="28"/>
              </w:rPr>
              <w:t>.</w:t>
            </w:r>
          </w:p>
        </w:tc>
      </w:tr>
      <w:tr w:rsidR="00B70620" w:rsidRPr="003E689E" w14:paraId="5B422AE4" w14:textId="77777777" w:rsidTr="00B70620">
        <w:tc>
          <w:tcPr>
            <w:cnfStyle w:val="001000000000" w:firstRow="0" w:lastRow="0" w:firstColumn="1" w:lastColumn="0" w:oddVBand="0" w:evenVBand="0" w:oddHBand="0" w:evenHBand="0" w:firstRowFirstColumn="0" w:firstRowLastColumn="0" w:lastRowFirstColumn="0" w:lastRowLastColumn="0"/>
            <w:tcW w:w="2410" w:type="dxa"/>
          </w:tcPr>
          <w:p w14:paraId="29C25AFA"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color w:val="000000"/>
                <w:sz w:val="28"/>
                <w:szCs w:val="28"/>
              </w:rPr>
            </w:pPr>
            <w:r w:rsidRPr="003E689E">
              <w:rPr>
                <w:rFonts w:ascii="Georgia" w:hAnsi="Georgia" w:cs="Arial"/>
                <w:bCs w:val="0"/>
                <w:color w:val="000000"/>
                <w:sz w:val="28"/>
                <w:szCs w:val="28"/>
              </w:rPr>
              <w:t>Concepto de negocio inclusivo</w:t>
            </w:r>
            <w:r w:rsidRPr="003E689E">
              <w:rPr>
                <w:rFonts w:ascii="Georgia" w:hAnsi="Georgia" w:cs="Arial"/>
                <w:color w:val="000000"/>
                <w:sz w:val="28"/>
                <w:szCs w:val="28"/>
              </w:rPr>
              <w:tab/>
              <w:t xml:space="preserve"> </w:t>
            </w:r>
          </w:p>
        </w:tc>
        <w:tc>
          <w:tcPr>
            <w:tcW w:w="6379" w:type="dxa"/>
          </w:tcPr>
          <w:p w14:paraId="2029027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 xml:space="preserve">Para distribuir sus productos en áreas urbanas y periurbanas de difícil acceso en África, Coca Cola utiliza pequeñas empresas que distribuyen sus productos manualmente a los pequeños minoristas de la zona. Para ello ha creado los </w:t>
            </w:r>
            <w:r w:rsidRPr="003E689E">
              <w:rPr>
                <w:rFonts w:ascii="Georgia" w:hAnsi="Georgia" w:cs="Arial"/>
                <w:color w:val="000000"/>
                <w:sz w:val="28"/>
                <w:szCs w:val="28"/>
              </w:rPr>
              <w:lastRenderedPageBreak/>
              <w:t xml:space="preserve">llamados  Centros de Distribución Manual (CDMs), de propiedad independiente, que trabajan en mercados al por menor donde los modelos clásicos de distribución de Coca Cola no son efectivos ni eficientes. </w:t>
            </w:r>
          </w:p>
          <w:p w14:paraId="604F3F74"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Coca Cola forma a emprendedores locales para que se conviertan en distribuidores de  la compañía a través de los CDM. Muchos de ellos son mujeres.</w:t>
            </w:r>
          </w:p>
        </w:tc>
      </w:tr>
      <w:tr w:rsidR="00B70620" w:rsidRPr="003E689E" w14:paraId="3E8C5A49"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474604C"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color w:val="000000"/>
                <w:sz w:val="28"/>
                <w:szCs w:val="28"/>
              </w:rPr>
            </w:pPr>
            <w:r w:rsidRPr="003E689E">
              <w:rPr>
                <w:rFonts w:ascii="Georgia" w:hAnsi="Georgia" w:cs="Arial"/>
                <w:bCs w:val="0"/>
                <w:color w:val="000000"/>
                <w:sz w:val="28"/>
                <w:szCs w:val="28"/>
              </w:rPr>
              <w:lastRenderedPageBreak/>
              <w:t>Oportunidades</w:t>
            </w:r>
            <w:r w:rsidRPr="003E689E">
              <w:rPr>
                <w:rFonts w:ascii="Georgia" w:hAnsi="Georgia" w:cs="Arial"/>
                <w:color w:val="000000"/>
                <w:sz w:val="28"/>
                <w:szCs w:val="28"/>
              </w:rPr>
              <w:tab/>
            </w:r>
          </w:p>
        </w:tc>
        <w:tc>
          <w:tcPr>
            <w:tcW w:w="6379" w:type="dxa"/>
          </w:tcPr>
          <w:p w14:paraId="4F9EF39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8"/>
                <w:szCs w:val="28"/>
              </w:rPr>
            </w:pPr>
            <w:r w:rsidRPr="003E689E">
              <w:rPr>
                <w:rFonts w:ascii="Georgia" w:hAnsi="Georgia" w:cs="Arial"/>
                <w:b/>
                <w:color w:val="000000"/>
                <w:sz w:val="28"/>
                <w:szCs w:val="28"/>
              </w:rPr>
              <w:t xml:space="preserve">Para Coca-Cola: </w:t>
            </w:r>
            <w:r w:rsidRPr="003E689E">
              <w:rPr>
                <w:rFonts w:ascii="Georgia" w:hAnsi="Georgia" w:cs="Arial"/>
                <w:color w:val="000000"/>
                <w:sz w:val="28"/>
                <w:szCs w:val="28"/>
              </w:rPr>
              <w:t>la falta de infraestructura vial en algunas zonas pobres de Africa supone una barrera para los distribuidores de Coca Cola. Esta iniciativa permite resolver los problemas de distribución de la empresa en  ciertas áreas geográficas.</w:t>
            </w:r>
          </w:p>
          <w:p w14:paraId="1FF2BEBF"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8"/>
                <w:szCs w:val="28"/>
              </w:rPr>
            </w:pPr>
            <w:r w:rsidRPr="003E689E">
              <w:rPr>
                <w:rFonts w:ascii="Georgia" w:hAnsi="Georgia" w:cs="Arial"/>
                <w:b/>
                <w:color w:val="000000"/>
                <w:sz w:val="28"/>
                <w:szCs w:val="28"/>
              </w:rPr>
              <w:t>Para la Base de la Pirámide</w:t>
            </w:r>
            <w:r w:rsidRPr="003E689E">
              <w:rPr>
                <w:rFonts w:ascii="Georgia" w:hAnsi="Georgia" w:cs="Arial"/>
                <w:color w:val="000000"/>
                <w:sz w:val="28"/>
                <w:szCs w:val="28"/>
              </w:rPr>
              <w:t>: También existe falta de apoyo al emprendimiento, en particular a las mujeres y falta de empleo a nivel local. A través de los CDMs Coca Cola fomenta el emprendimiento  generando empleo y riqueza en las comunidades más pobres.</w:t>
            </w:r>
          </w:p>
        </w:tc>
      </w:tr>
      <w:tr w:rsidR="00B70620" w:rsidRPr="003E689E" w14:paraId="0D2893C6" w14:textId="77777777" w:rsidTr="00B70620">
        <w:tc>
          <w:tcPr>
            <w:cnfStyle w:val="001000000000" w:firstRow="0" w:lastRow="0" w:firstColumn="1" w:lastColumn="0" w:oddVBand="0" w:evenVBand="0" w:oddHBand="0" w:evenHBand="0" w:firstRowFirstColumn="0" w:firstRowLastColumn="0" w:lastRowFirstColumn="0" w:lastRowLastColumn="0"/>
            <w:tcW w:w="2410" w:type="dxa"/>
          </w:tcPr>
          <w:p w14:paraId="2970858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color w:val="000000"/>
                <w:sz w:val="28"/>
                <w:szCs w:val="28"/>
              </w:rPr>
            </w:pPr>
            <w:r w:rsidRPr="003E689E">
              <w:rPr>
                <w:rFonts w:ascii="Georgia" w:hAnsi="Georgia" w:cs="Arial"/>
                <w:bCs w:val="0"/>
                <w:color w:val="000000"/>
                <w:sz w:val="28"/>
                <w:szCs w:val="28"/>
              </w:rPr>
              <w:t>¿Cómo?</w:t>
            </w:r>
          </w:p>
        </w:tc>
        <w:tc>
          <w:tcPr>
            <w:tcW w:w="6379" w:type="dxa"/>
          </w:tcPr>
          <w:p w14:paraId="5CBE5751"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Coca-Cola Sabco desarrolló el modelo MDC como proyecto piloto en Etiopia  y luego lo implementó  a gran escala en Africa del Este.</w:t>
            </w:r>
          </w:p>
        </w:tc>
      </w:tr>
      <w:tr w:rsidR="00B70620" w:rsidRPr="003E689E" w14:paraId="391688C3" w14:textId="77777777" w:rsidTr="00B70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8B9C222"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outlineLvl w:val="0"/>
              <w:rPr>
                <w:rFonts w:ascii="Georgia" w:hAnsi="Georgia" w:cs="Arial"/>
                <w:color w:val="000000"/>
                <w:sz w:val="28"/>
                <w:szCs w:val="28"/>
              </w:rPr>
            </w:pPr>
            <w:r w:rsidRPr="003E689E">
              <w:rPr>
                <w:rFonts w:ascii="Georgia" w:hAnsi="Georgia" w:cs="Arial"/>
                <w:bCs w:val="0"/>
                <w:color w:val="000000"/>
                <w:sz w:val="28"/>
                <w:szCs w:val="28"/>
              </w:rPr>
              <w:t>Resultados</w:t>
            </w:r>
          </w:p>
        </w:tc>
        <w:tc>
          <w:tcPr>
            <w:tcW w:w="6379" w:type="dxa"/>
          </w:tcPr>
          <w:p w14:paraId="39597CD3" w14:textId="77777777" w:rsidR="00B70620" w:rsidRPr="003E689E" w:rsidRDefault="00B70620" w:rsidP="00B7062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jc w:val="both"/>
              <w:outlineLvl w:val="0"/>
              <w:cnfStyle w:val="000000100000" w:firstRow="0" w:lastRow="0" w:firstColumn="0" w:lastColumn="0" w:oddVBand="0" w:evenVBand="0" w:oddHBand="1" w:evenHBand="0" w:firstRowFirstColumn="0" w:firstRowLastColumn="0" w:lastRowFirstColumn="0" w:lastRowLastColumn="0"/>
              <w:rPr>
                <w:rFonts w:ascii="Georgia" w:hAnsi="Georgia" w:cs="Arial"/>
                <w:color w:val="000000"/>
                <w:sz w:val="28"/>
                <w:szCs w:val="28"/>
              </w:rPr>
            </w:pPr>
            <w:r w:rsidRPr="003E689E">
              <w:rPr>
                <w:rFonts w:ascii="Georgia" w:hAnsi="Georgia" w:cs="Arial"/>
                <w:color w:val="000000"/>
                <w:sz w:val="28"/>
                <w:szCs w:val="28"/>
              </w:rPr>
              <w:t xml:space="preserve">2.500 MDCs en Africa, generando más de 12.000 </w:t>
            </w:r>
            <w:r w:rsidRPr="003E689E">
              <w:rPr>
                <w:rFonts w:ascii="Georgia" w:hAnsi="Georgia" w:cs="Arial"/>
                <w:color w:val="000000"/>
                <w:sz w:val="28"/>
                <w:szCs w:val="28"/>
              </w:rPr>
              <w:lastRenderedPageBreak/>
              <w:t>trabajos y más de USD 500 millones anuales en renta. Los MDCs cuentan  como el 80% de las ventas de Coca-Cola en África del Este. El sistema creó oportunidades económicas para las mujeres que poseen el 19% de los CDM en Etiopia y el 32% en Tanzania.</w:t>
            </w:r>
          </w:p>
        </w:tc>
      </w:tr>
    </w:tbl>
    <w:p w14:paraId="6E1E245F" w14:textId="77777777" w:rsidR="00180A8A" w:rsidRDefault="00180A8A" w:rsidP="00B70620">
      <w:pPr>
        <w:pStyle w:val="ebook-T1"/>
        <w:rPr>
          <w:rFonts w:ascii="Georgia" w:hAnsi="Georgia"/>
        </w:rPr>
      </w:pPr>
    </w:p>
    <w:p w14:paraId="18CDC621" w14:textId="77777777" w:rsidR="005F2971" w:rsidRDefault="005F2971" w:rsidP="00B70620">
      <w:pPr>
        <w:pStyle w:val="ebook-T1"/>
        <w:rPr>
          <w:rFonts w:ascii="Georgia" w:hAnsi="Georgia"/>
        </w:rPr>
      </w:pPr>
    </w:p>
    <w:p w14:paraId="2936A5C0" w14:textId="77777777" w:rsidR="005F2971" w:rsidRDefault="005F2971" w:rsidP="00B70620">
      <w:pPr>
        <w:pStyle w:val="ebook-T1"/>
        <w:rPr>
          <w:rFonts w:ascii="Georgia" w:hAnsi="Georgia"/>
        </w:rPr>
      </w:pPr>
    </w:p>
    <w:p w14:paraId="30816E59" w14:textId="77777777" w:rsidR="005F2971" w:rsidRDefault="005F2971" w:rsidP="00B70620">
      <w:pPr>
        <w:pStyle w:val="ebook-T1"/>
        <w:rPr>
          <w:rFonts w:ascii="Georgia" w:hAnsi="Georgia"/>
        </w:rPr>
      </w:pPr>
    </w:p>
    <w:p w14:paraId="7E2FF8DA" w14:textId="77777777" w:rsidR="005F2971" w:rsidRDefault="005F2971" w:rsidP="00B70620">
      <w:pPr>
        <w:pStyle w:val="ebook-T1"/>
        <w:rPr>
          <w:rFonts w:ascii="Georgia" w:hAnsi="Georgia"/>
        </w:rPr>
      </w:pPr>
    </w:p>
    <w:p w14:paraId="116ABBD5" w14:textId="77777777" w:rsidR="005F2971" w:rsidRDefault="005F2971" w:rsidP="00B70620">
      <w:pPr>
        <w:pStyle w:val="ebook-T1"/>
        <w:rPr>
          <w:rFonts w:ascii="Georgia" w:hAnsi="Georgia"/>
        </w:rPr>
      </w:pPr>
    </w:p>
    <w:p w14:paraId="46B49EF0" w14:textId="77777777" w:rsidR="005F2971" w:rsidRDefault="005F2971" w:rsidP="00B70620">
      <w:pPr>
        <w:pStyle w:val="ebook-T1"/>
        <w:rPr>
          <w:rFonts w:ascii="Georgia" w:hAnsi="Georgia"/>
        </w:rPr>
      </w:pPr>
    </w:p>
    <w:p w14:paraId="1A423EBF" w14:textId="77777777" w:rsidR="005F2971" w:rsidRDefault="005F2971" w:rsidP="00B70620">
      <w:pPr>
        <w:pStyle w:val="ebook-T1"/>
        <w:rPr>
          <w:rFonts w:ascii="Georgia" w:hAnsi="Georgia"/>
        </w:rPr>
      </w:pPr>
    </w:p>
    <w:p w14:paraId="75375A6D" w14:textId="548D9745" w:rsidR="00180A8A" w:rsidRPr="003E689E" w:rsidRDefault="005F2971" w:rsidP="00B70620">
      <w:pPr>
        <w:pStyle w:val="ebook-T1"/>
        <w:rPr>
          <w:rFonts w:ascii="Georgia" w:hAnsi="Georgia"/>
        </w:rPr>
      </w:pPr>
      <w:r>
        <w:rPr>
          <w:rFonts w:ascii="Georgia" w:hAnsi="Georgia"/>
        </w:rPr>
        <w:t xml:space="preserve">                                                              </w:t>
      </w:r>
      <w:r w:rsidR="00EE6B9C">
        <w:rPr>
          <w:rFonts w:ascii="Georgia" w:hAnsi="Georgia"/>
        </w:rPr>
        <w:t xml:space="preserve"> </w:t>
      </w:r>
    </w:p>
    <w:p w14:paraId="79C1452C" w14:textId="77777777" w:rsidR="00EE6B9C" w:rsidRDefault="00EE6B9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Pr>
          <w:rFonts w:ascii="Georgia" w:hAnsi="Georgia" w:cs="Arial"/>
          <w:color w:val="000000"/>
          <w:sz w:val="28"/>
          <w:szCs w:val="28"/>
        </w:rPr>
        <w:t xml:space="preserve">                                                                                                                                                             </w:t>
      </w:r>
    </w:p>
    <w:p w14:paraId="1CC5EFF2" w14:textId="77777777" w:rsidR="00EE6B9C" w:rsidRDefault="00EE6B9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p>
    <w:p w14:paraId="3DB75409" w14:textId="3D1FAD5E" w:rsidR="00EE6B9C" w:rsidRDefault="00EE6B9C" w:rsidP="00EE6B9C">
      <w:pPr>
        <w:pStyle w:val="ebook-T1"/>
        <w:rPr>
          <w:rFonts w:cs="Arial"/>
          <w:color w:val="000000"/>
          <w:sz w:val="28"/>
        </w:rPr>
      </w:pPr>
      <w:bookmarkStart w:id="24" w:name="_Toc291670214"/>
      <w:r w:rsidRPr="003E689E">
        <w:lastRenderedPageBreak/>
        <w:t>Conclusió</w:t>
      </w:r>
      <w:r>
        <w:t>n</w:t>
      </w:r>
      <w:bookmarkEnd w:id="24"/>
    </w:p>
    <w:p w14:paraId="62F81D9E" w14:textId="0687A4B2"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Los negocios inclusivos son considerados hoy en día por algunos sectores empresariales, grandes agencias de cooperación internacional y organismos de desarrollo, como una estrategia de superación de la pobreza que permite una participación activa del sector privado en los temas de desarrollo y la incorporación de comunidades empobrecidas en circuitos de mercado.</w:t>
      </w:r>
    </w:p>
    <w:p w14:paraId="63951F99"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Estamos frente un cambio en el paradigma de la pobreza basado en la idea de que los pobres tienen potencial para generar valor y salir de su situación de vulnerabilidad por sí mismos si se les proporcionan oportunidades y acceso a bienes, servicios y trabajo. También  se ha producido un cambio de perspectiva en cuanto  a quien debe asumir  el compromiso de aportar soluciones a los problemas sociales. Desde esta nueva perspectiva, los problemas de desigualdad y pobreza ya no suponen una responsabilidad sólo para los poderes públicos, también se espera que las empresas asuman un papel activo en su resolución.</w:t>
      </w:r>
    </w:p>
    <w:p w14:paraId="52807ABC" w14:textId="77777777" w:rsidR="00663D8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r w:rsidRPr="003E689E">
        <w:rPr>
          <w:rFonts w:ascii="Georgia" w:hAnsi="Georgia" w:cs="Arial"/>
          <w:color w:val="000000"/>
          <w:sz w:val="28"/>
          <w:szCs w:val="28"/>
        </w:rPr>
        <w:t xml:space="preserve">A través de los negocios inclusivos, el sector privado puede adaptarse a ambos cambios respondiendo a las nuevas expectativas que se tiene sobre su actuación, mejorando su reputación e imagen y al mismo tiempo utilizando el valor que existe en la base de la pirámide de forma económicamente viable y encontrando nuevos mercados en los que crecer. Existen algunos retos y barreras en el desarrollo de estos nuevos modelos de negocio pero también estrategias y mecanismos para superarlos. </w:t>
      </w:r>
    </w:p>
    <w:p w14:paraId="35FA51F5" w14:textId="77777777" w:rsidR="00663D8E" w:rsidRDefault="00663D8E"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8"/>
          <w:szCs w:val="28"/>
        </w:rPr>
      </w:pPr>
    </w:p>
    <w:p w14:paraId="6AEA0B51" w14:textId="25F15298"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r w:rsidRPr="003E689E">
        <w:rPr>
          <w:rFonts w:ascii="Georgia" w:hAnsi="Georgia" w:cs="Arial"/>
          <w:color w:val="000000"/>
          <w:sz w:val="28"/>
          <w:szCs w:val="28"/>
        </w:rPr>
        <w:lastRenderedPageBreak/>
        <w:t xml:space="preserve">Algunos de las recomendaciones presentadas en este capitulo han sido utilizadas con éxito por algunas grandes empresas de distintos sectores y en grandes líneas se pueden  son las siguientes: </w:t>
      </w:r>
      <w:r w:rsidRPr="003E689E">
        <w:rPr>
          <w:rFonts w:ascii="Georgia" w:hAnsi="Georgia" w:cs="Arial"/>
          <w:sz w:val="28"/>
          <w:szCs w:val="28"/>
        </w:rPr>
        <w:t xml:space="preserve">adaptar los productos y procesos a la realidad local buscando la innovación y la flexibilidad, invertir para reducir las restricciones de mercado, apalancar las fortalezas de los pobres, combinar recursos y capacidades, comprometerse en diálogos con los gobiernos y promover la construcción del tejido social. </w:t>
      </w:r>
    </w:p>
    <w:p w14:paraId="138151E3" w14:textId="697799CC"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sz w:val="28"/>
          <w:szCs w:val="28"/>
        </w:rPr>
      </w:pPr>
      <w:r w:rsidRPr="003E689E">
        <w:rPr>
          <w:rFonts w:ascii="Georgia" w:hAnsi="Georgia" w:cs="Arial"/>
          <w:color w:val="000000"/>
          <w:sz w:val="28"/>
          <w:szCs w:val="28"/>
        </w:rPr>
        <w:t xml:space="preserve">La magnitud de  las oportunidades de los negocios inclusivos y su potencial impacto positivo en el desarrollo de la Base de la Pirámide justifican el esfuerzo que supone superar las barreras iniciales </w:t>
      </w:r>
      <w:r w:rsidRPr="003E689E">
        <w:rPr>
          <w:rFonts w:ascii="Georgia" w:hAnsi="Georgia" w:cs="Arial"/>
          <w:sz w:val="28"/>
          <w:szCs w:val="28"/>
        </w:rPr>
        <w:t>.</w:t>
      </w:r>
    </w:p>
    <w:p w14:paraId="3C87C15F" w14:textId="77777777" w:rsidR="00180A8A" w:rsidRDefault="00180A8A" w:rsidP="00F87264">
      <w:pPr>
        <w:pStyle w:val="ebook-T1"/>
        <w:rPr>
          <w:rFonts w:ascii="Georgia" w:hAnsi="Georgia"/>
        </w:rPr>
      </w:pPr>
    </w:p>
    <w:p w14:paraId="79C8D966" w14:textId="77777777" w:rsidR="00180A8A" w:rsidRDefault="00180A8A"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063326E6" w14:textId="77777777" w:rsidR="00EE6B9C" w:rsidRDefault="00EE6B9C" w:rsidP="00180A8A">
      <w:pPr>
        <w:pStyle w:val="ebook-T1"/>
        <w:rPr>
          <w:rFonts w:ascii="Georgia" w:hAnsi="Georgia"/>
        </w:rPr>
      </w:pPr>
    </w:p>
    <w:p w14:paraId="7367F043" w14:textId="77777777" w:rsidR="00EE6B9C" w:rsidRDefault="00EE6B9C" w:rsidP="00180A8A">
      <w:pPr>
        <w:pStyle w:val="ebook-T1"/>
        <w:rPr>
          <w:rFonts w:ascii="Georgia" w:hAnsi="Georgia"/>
        </w:rPr>
      </w:pPr>
    </w:p>
    <w:p w14:paraId="792FB1D1" w14:textId="77777777" w:rsidR="00EE6B9C" w:rsidRDefault="00EE6B9C" w:rsidP="00180A8A">
      <w:pPr>
        <w:pStyle w:val="ebook-T1"/>
        <w:rPr>
          <w:rFonts w:ascii="Georgia" w:hAnsi="Georgia"/>
        </w:rPr>
      </w:pPr>
    </w:p>
    <w:p w14:paraId="0CAFC238" w14:textId="77777777" w:rsidR="00180A8A" w:rsidRDefault="00180A8A"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034ACFA9" w14:textId="77777777" w:rsidR="00EE6B9C" w:rsidRDefault="00EE6B9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680D3812" w14:textId="77777777" w:rsidR="00EE6B9C" w:rsidRDefault="00EE6B9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5E2CF4CA" w14:textId="77777777" w:rsidR="00EE6B9C" w:rsidRDefault="00EE6B9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7DB7C996" w14:textId="77777777" w:rsidR="00EE6B9C" w:rsidRDefault="00EE6B9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0EBD8864" w14:textId="77777777" w:rsidR="00EE6B9C" w:rsidRDefault="00EE6B9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0F86CEEE" w14:textId="528D608D" w:rsidR="00B06DC6" w:rsidRDefault="00B06DC6" w:rsidP="00EE6B9C">
      <w:pPr>
        <w:pStyle w:val="ebook-T1"/>
        <w:rPr>
          <w:rFonts w:ascii="Georgia" w:hAnsi="Georgia"/>
        </w:rPr>
      </w:pPr>
      <w:bookmarkStart w:id="25" w:name="_Toc291670215"/>
      <w:r>
        <w:rPr>
          <w:rFonts w:ascii="Georgia" w:hAnsi="Georgia"/>
        </w:rPr>
        <w:lastRenderedPageBreak/>
        <w:t>Autora</w:t>
      </w:r>
    </w:p>
    <w:p w14:paraId="06BD03E7" w14:textId="77777777" w:rsidR="00D41FC4" w:rsidRPr="001A36A5" w:rsidRDefault="00D41FC4" w:rsidP="00D41FC4">
      <w:pPr>
        <w:widowControl w:val="0"/>
        <w:autoSpaceDE w:val="0"/>
        <w:autoSpaceDN w:val="0"/>
        <w:adjustRightInd w:val="0"/>
        <w:spacing w:after="620" w:line="360" w:lineRule="auto"/>
        <w:ind w:right="620"/>
        <w:jc w:val="both"/>
        <w:rPr>
          <w:rFonts w:ascii="Georgia" w:hAnsi="Georgia" w:cs="Helvetica Neue"/>
          <w:b/>
          <w:color w:val="101010"/>
          <w:sz w:val="28"/>
          <w:szCs w:val="28"/>
        </w:rPr>
      </w:pPr>
      <w:r w:rsidRPr="001A36A5">
        <w:rPr>
          <w:rFonts w:ascii="Georgia" w:hAnsi="Georgia" w:cs="Helvetica"/>
          <w:b/>
          <w:noProof/>
          <w:color w:val="262626"/>
          <w:sz w:val="28"/>
          <w:szCs w:val="28"/>
          <w:lang w:val="en-US"/>
        </w:rPr>
        <w:drawing>
          <wp:anchor distT="0" distB="0" distL="114300" distR="114300" simplePos="0" relativeHeight="251702272" behindDoc="0" locked="0" layoutInCell="1" allowOverlap="1" wp14:anchorId="61E81A1D" wp14:editId="25A112E9">
            <wp:simplePos x="0" y="0"/>
            <wp:positionH relativeFrom="column">
              <wp:posOffset>0</wp:posOffset>
            </wp:positionH>
            <wp:positionV relativeFrom="paragraph">
              <wp:posOffset>1230630</wp:posOffset>
            </wp:positionV>
            <wp:extent cx="1943100" cy="2611755"/>
            <wp:effectExtent l="0" t="0" r="12700" b="4445"/>
            <wp:wrapSquare wrapText="bothSides"/>
            <wp:docPr id="1" name="Picture 1" descr="Macintosh HD:Users:guadalupedelamata:Pictures:iPhoto biblioteca.photolibrary:Masters:2013:11:21:20131121-21375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adalupedelamata:Pictures:iPhoto biblioteca.photolibrary:Masters:2013:11:21:20131121-213751:IMG_000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3100" cy="26117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50CE" w:rsidRPr="001A36A5">
        <w:rPr>
          <w:rFonts w:ascii="Georgia" w:hAnsi="Georgia" w:cs="Helvetica Neue"/>
          <w:b/>
          <w:color w:val="101010"/>
          <w:sz w:val="28"/>
          <w:szCs w:val="28"/>
        </w:rPr>
        <w:t>Mi principal motivación es apoyar empresas, ideas y proyectos innovadores para generar cambio social positivo</w:t>
      </w:r>
      <w:r w:rsidRPr="001A36A5">
        <w:rPr>
          <w:rFonts w:ascii="Georgia" w:hAnsi="Georgia" w:cs="Helvetica Neue"/>
          <w:b/>
          <w:color w:val="101010"/>
          <w:sz w:val="28"/>
          <w:szCs w:val="28"/>
        </w:rPr>
        <w:t>.</w:t>
      </w:r>
    </w:p>
    <w:p w14:paraId="2F627711" w14:textId="5FFC5815" w:rsidR="001A36A5" w:rsidRDefault="004F50CE" w:rsidP="001A36A5">
      <w:pPr>
        <w:widowControl w:val="0"/>
        <w:autoSpaceDE w:val="0"/>
        <w:autoSpaceDN w:val="0"/>
        <w:adjustRightInd w:val="0"/>
        <w:spacing w:after="620" w:line="360" w:lineRule="auto"/>
        <w:ind w:right="620"/>
        <w:jc w:val="both"/>
        <w:rPr>
          <w:rFonts w:ascii="Georgia" w:hAnsi="Georgia" w:cs="Helvetica"/>
          <w:color w:val="262626"/>
          <w:sz w:val="28"/>
          <w:szCs w:val="28"/>
        </w:rPr>
      </w:pPr>
      <w:proofErr w:type="gramStart"/>
      <w:r w:rsidRPr="00D41FC4">
        <w:rPr>
          <w:rFonts w:ascii="Georgia" w:hAnsi="Georgia" w:cs="Arial"/>
          <w:sz w:val="28"/>
          <w:szCs w:val="28"/>
          <w:lang w:val="en-US"/>
        </w:rPr>
        <w:t>He dedicado</w:t>
      </w:r>
      <w:r w:rsidR="00D41FC4" w:rsidRPr="00D41FC4">
        <w:rPr>
          <w:rFonts w:ascii="Georgia" w:hAnsi="Georgia" w:cs="Arial"/>
          <w:sz w:val="28"/>
          <w:szCs w:val="28"/>
          <w:lang w:val="en-US"/>
        </w:rPr>
        <w:t xml:space="preserve"> mi carrera a diseñar, </w:t>
      </w:r>
      <w:r w:rsidRPr="00D41FC4">
        <w:rPr>
          <w:rFonts w:ascii="Georgia" w:hAnsi="Georgia" w:cs="Arial"/>
          <w:sz w:val="28"/>
          <w:szCs w:val="28"/>
          <w:lang w:val="en-US"/>
        </w:rPr>
        <w:t>financiar y promover estrategias para promover el crecimiento económico y reducción de la pobrez</w:t>
      </w:r>
      <w:r w:rsidR="001A36A5">
        <w:rPr>
          <w:rFonts w:ascii="Georgia" w:hAnsi="Georgia" w:cs="Arial"/>
          <w:sz w:val="28"/>
          <w:szCs w:val="28"/>
          <w:lang w:val="en-US"/>
        </w:rPr>
        <w:t>a.</w:t>
      </w:r>
      <w:proofErr w:type="gramEnd"/>
      <w:r w:rsidR="001A36A5">
        <w:rPr>
          <w:rFonts w:ascii="Georgia" w:hAnsi="Georgia" w:cs="Arial"/>
          <w:sz w:val="28"/>
          <w:szCs w:val="28"/>
          <w:lang w:val="en-US"/>
        </w:rPr>
        <w:t xml:space="preserve"> D</w:t>
      </w:r>
      <w:r w:rsidR="00D41FC4" w:rsidRPr="00D41FC4">
        <w:rPr>
          <w:rFonts w:ascii="Georgia" w:hAnsi="Georgia" w:cs="Arial"/>
          <w:sz w:val="28"/>
          <w:szCs w:val="28"/>
          <w:lang w:val="en-US"/>
        </w:rPr>
        <w:t xml:space="preserve">esde organizaciones multilaterales europeas </w:t>
      </w:r>
      <w:proofErr w:type="gramStart"/>
      <w:r w:rsidR="00D41FC4" w:rsidRPr="00D41FC4">
        <w:rPr>
          <w:rFonts w:ascii="Georgia" w:hAnsi="Georgia" w:cs="Arial"/>
          <w:sz w:val="28"/>
          <w:szCs w:val="28"/>
          <w:lang w:val="en-US"/>
        </w:rPr>
        <w:t>como</w:t>
      </w:r>
      <w:proofErr w:type="gramEnd"/>
      <w:r w:rsidR="00D41FC4" w:rsidRPr="00D41FC4">
        <w:rPr>
          <w:rFonts w:ascii="Georgia" w:hAnsi="Georgia" w:cs="Arial"/>
          <w:sz w:val="28"/>
          <w:szCs w:val="28"/>
          <w:lang w:val="en-US"/>
        </w:rPr>
        <w:t xml:space="preserve"> el Fondo Europeo de Inversiones, el Banco Europeo de Inversiones y el Banco Europeo </w:t>
      </w:r>
      <w:r w:rsidR="001A36A5">
        <w:rPr>
          <w:rFonts w:ascii="Georgia" w:hAnsi="Georgia" w:cs="Arial"/>
          <w:sz w:val="28"/>
          <w:szCs w:val="28"/>
          <w:lang w:val="en-US"/>
        </w:rPr>
        <w:t>de Reconstrucción y Desarrollo h</w:t>
      </w:r>
      <w:r w:rsidRPr="00D41FC4">
        <w:rPr>
          <w:rFonts w:ascii="Georgia" w:hAnsi="Georgia" w:cs="Arial"/>
          <w:sz w:val="28"/>
          <w:szCs w:val="28"/>
          <w:lang w:val="en-US"/>
        </w:rPr>
        <w:t>e trab</w:t>
      </w:r>
      <w:r w:rsidR="001A36A5">
        <w:rPr>
          <w:rFonts w:ascii="Georgia" w:hAnsi="Georgia" w:cs="Arial"/>
          <w:sz w:val="28"/>
          <w:szCs w:val="28"/>
          <w:lang w:val="en-US"/>
        </w:rPr>
        <w:t>ajado</w:t>
      </w:r>
      <w:r w:rsidRPr="00D41FC4">
        <w:rPr>
          <w:rFonts w:ascii="Georgia" w:hAnsi="Georgia" w:cs="Arial"/>
          <w:sz w:val="28"/>
          <w:szCs w:val="28"/>
          <w:lang w:val="en-US"/>
        </w:rPr>
        <w:t xml:space="preserve"> con </w:t>
      </w:r>
      <w:r w:rsidR="00BB7785" w:rsidRPr="00D41FC4">
        <w:rPr>
          <w:rFonts w:ascii="Georgia" w:hAnsi="Georgia" w:cs="Helvetica"/>
          <w:color w:val="262626"/>
          <w:sz w:val="28"/>
          <w:szCs w:val="28"/>
        </w:rPr>
        <w:t>gobiernos, organizaciones multilaterales de desarrollo y empresas so</w:t>
      </w:r>
      <w:r w:rsidRPr="00D41FC4">
        <w:rPr>
          <w:rFonts w:ascii="Georgia" w:hAnsi="Georgia" w:cs="Helvetica"/>
          <w:color w:val="262626"/>
          <w:sz w:val="28"/>
          <w:szCs w:val="28"/>
        </w:rPr>
        <w:t xml:space="preserve">ciales </w:t>
      </w:r>
      <w:r w:rsidR="001A36A5">
        <w:rPr>
          <w:rFonts w:ascii="Georgia" w:hAnsi="Georgia" w:cs="Helvetica"/>
          <w:color w:val="262626"/>
          <w:sz w:val="28"/>
          <w:szCs w:val="28"/>
        </w:rPr>
        <w:t xml:space="preserve">de los 5 continentes. También he sido </w:t>
      </w:r>
      <w:r w:rsidR="00BB7785" w:rsidRPr="00D41FC4">
        <w:rPr>
          <w:rFonts w:ascii="Georgia" w:hAnsi="Georgia" w:cs="Helvetica"/>
          <w:color w:val="262626"/>
          <w:sz w:val="28"/>
          <w:szCs w:val="28"/>
        </w:rPr>
        <w:t>consejera de varias Instituciones y Bancos de Microfinanzas y miembro ejecutivo de comités de inversión de fondos de inversiones de impacto.</w:t>
      </w:r>
      <w:r w:rsidR="001A36A5">
        <w:rPr>
          <w:rFonts w:ascii="Georgia" w:hAnsi="Georgia" w:cs="Helvetica"/>
          <w:color w:val="262626"/>
          <w:sz w:val="28"/>
          <w:szCs w:val="28"/>
        </w:rPr>
        <w:t xml:space="preserve"> </w:t>
      </w:r>
    </w:p>
    <w:p w14:paraId="5DD99D61" w14:textId="25B89C0A" w:rsidR="004F50CE" w:rsidRPr="00D41FC4" w:rsidRDefault="001A36A5" w:rsidP="001A36A5">
      <w:pPr>
        <w:widowControl w:val="0"/>
        <w:autoSpaceDE w:val="0"/>
        <w:autoSpaceDN w:val="0"/>
        <w:adjustRightInd w:val="0"/>
        <w:spacing w:after="620" w:line="360" w:lineRule="auto"/>
        <w:ind w:right="620"/>
        <w:jc w:val="both"/>
        <w:rPr>
          <w:rFonts w:ascii="Georgia" w:hAnsi="Georgia" w:cs="Helvetica Neue"/>
          <w:sz w:val="28"/>
          <w:szCs w:val="28"/>
        </w:rPr>
      </w:pPr>
      <w:r w:rsidRPr="00D41FC4">
        <w:rPr>
          <w:rFonts w:ascii="Georgia" w:hAnsi="Georgia" w:cs="Arial"/>
          <w:sz w:val="28"/>
          <w:szCs w:val="28"/>
          <w:lang w:val="en-US"/>
        </w:rPr>
        <w:t>Me interesan en especial las soluciones que combinan impact</w:t>
      </w:r>
      <w:r>
        <w:rPr>
          <w:rFonts w:ascii="Georgia" w:hAnsi="Georgia" w:cs="Arial"/>
          <w:sz w:val="28"/>
          <w:szCs w:val="28"/>
          <w:lang w:val="en-US"/>
        </w:rPr>
        <w:t xml:space="preserve">o social con sostenibilidad </w:t>
      </w:r>
      <w:proofErr w:type="gramStart"/>
      <w:r>
        <w:rPr>
          <w:rFonts w:ascii="Georgia" w:hAnsi="Georgia" w:cs="Arial"/>
          <w:sz w:val="28"/>
          <w:szCs w:val="28"/>
          <w:lang w:val="en-US"/>
        </w:rPr>
        <w:t>como</w:t>
      </w:r>
      <w:proofErr w:type="gramEnd"/>
      <w:r w:rsidRPr="00D41FC4">
        <w:rPr>
          <w:rFonts w:ascii="Georgia" w:hAnsi="Georgia" w:cs="Arial"/>
          <w:sz w:val="28"/>
          <w:szCs w:val="28"/>
          <w:lang w:val="en-US"/>
        </w:rPr>
        <w:t xml:space="preserve"> las microfinanzas, el emprendimiento social y otros modelos de innovación social.</w:t>
      </w:r>
    </w:p>
    <w:p w14:paraId="18B7D1F9" w14:textId="5959F64A" w:rsidR="004F50CE" w:rsidRPr="00D41FC4" w:rsidRDefault="004F50CE" w:rsidP="001A36A5">
      <w:pPr>
        <w:widowControl w:val="0"/>
        <w:autoSpaceDE w:val="0"/>
        <w:autoSpaceDN w:val="0"/>
        <w:adjustRightInd w:val="0"/>
        <w:spacing w:after="620" w:line="360" w:lineRule="auto"/>
        <w:ind w:right="620"/>
        <w:jc w:val="both"/>
        <w:rPr>
          <w:rFonts w:ascii="Georgia" w:hAnsi="Georgia" w:cs="Arial"/>
          <w:sz w:val="28"/>
          <w:szCs w:val="28"/>
          <w:lang w:val="en-US"/>
        </w:rPr>
      </w:pPr>
      <w:proofErr w:type="gramStart"/>
      <w:r w:rsidRPr="00D41FC4">
        <w:rPr>
          <w:rFonts w:ascii="Georgia" w:hAnsi="Georgia" w:cs="Arial"/>
          <w:sz w:val="28"/>
          <w:szCs w:val="28"/>
          <w:lang w:val="en-US"/>
        </w:rPr>
        <w:t>Desde hace algunos años me dedico a “democratizar la innovación social”, dando a c</w:t>
      </w:r>
      <w:r w:rsidR="001A36A5">
        <w:rPr>
          <w:rFonts w:ascii="Georgia" w:hAnsi="Georgia" w:cs="Arial"/>
          <w:sz w:val="28"/>
          <w:szCs w:val="28"/>
          <w:lang w:val="en-US"/>
        </w:rPr>
        <w:t xml:space="preserve">onocer modelos innovadores que </w:t>
      </w:r>
      <w:r w:rsidRPr="00D41FC4">
        <w:rPr>
          <w:rFonts w:ascii="Georgia" w:hAnsi="Georgia" w:cs="Arial"/>
          <w:sz w:val="28"/>
          <w:szCs w:val="28"/>
          <w:lang w:val="en-US"/>
        </w:rPr>
        <w:t>generar impacto social positivo.</w:t>
      </w:r>
      <w:proofErr w:type="gramEnd"/>
      <w:r w:rsidRPr="00D41FC4">
        <w:rPr>
          <w:rFonts w:ascii="Georgia" w:hAnsi="Georgia" w:cs="Arial"/>
          <w:sz w:val="28"/>
          <w:szCs w:val="28"/>
          <w:lang w:val="en-US"/>
        </w:rPr>
        <w:t xml:space="preserve"> </w:t>
      </w:r>
      <w:r w:rsidRPr="00D41FC4">
        <w:rPr>
          <w:rFonts w:ascii="Georgia" w:hAnsi="Georgia" w:cs="Arial"/>
          <w:color w:val="141414"/>
          <w:sz w:val="28"/>
          <w:szCs w:val="28"/>
          <w:u w:color="0E24B2"/>
          <w:lang w:val="en-US"/>
        </w:rPr>
        <w:t xml:space="preserve">También quiero fomentar la </w:t>
      </w:r>
      <w:r w:rsidRPr="00D41FC4">
        <w:rPr>
          <w:rFonts w:ascii="Georgia" w:hAnsi="Georgia" w:cs="Arial"/>
          <w:color w:val="141414"/>
          <w:sz w:val="28"/>
          <w:szCs w:val="28"/>
          <w:u w:color="0E24B2"/>
          <w:lang w:val="en-US"/>
        </w:rPr>
        <w:lastRenderedPageBreak/>
        <w:t xml:space="preserve">construcción de comunidades transformadoras y organizaciones donde agentes de cambio, creativos, emprendedores y líderes, puedan crear </w:t>
      </w:r>
      <w:proofErr w:type="gramStart"/>
      <w:r w:rsidRPr="00D41FC4">
        <w:rPr>
          <w:rFonts w:ascii="Georgia" w:hAnsi="Georgia" w:cs="Arial"/>
          <w:color w:val="141414"/>
          <w:sz w:val="28"/>
          <w:szCs w:val="28"/>
          <w:u w:color="0E24B2"/>
          <w:lang w:val="en-US"/>
        </w:rPr>
        <w:t>un</w:t>
      </w:r>
      <w:proofErr w:type="gramEnd"/>
      <w:r w:rsidRPr="00D41FC4">
        <w:rPr>
          <w:rFonts w:ascii="Georgia" w:hAnsi="Georgia" w:cs="Arial"/>
          <w:color w:val="141414"/>
          <w:sz w:val="28"/>
          <w:szCs w:val="28"/>
          <w:u w:color="0E24B2"/>
          <w:lang w:val="en-US"/>
        </w:rPr>
        <w:t xml:space="preserve"> mundo más innovador, sostenible y compasivo.</w:t>
      </w:r>
    </w:p>
    <w:p w14:paraId="74489FAF" w14:textId="44A5927E" w:rsidR="004F50CE" w:rsidRPr="00D41FC4" w:rsidRDefault="004F50CE" w:rsidP="00D41FC4">
      <w:pPr>
        <w:widowControl w:val="0"/>
        <w:autoSpaceDE w:val="0"/>
        <w:autoSpaceDN w:val="0"/>
        <w:adjustRightInd w:val="0"/>
        <w:spacing w:line="360" w:lineRule="auto"/>
        <w:jc w:val="both"/>
        <w:rPr>
          <w:rFonts w:ascii="Georgia" w:hAnsi="Georgia" w:cs="Arial"/>
          <w:color w:val="141414"/>
          <w:sz w:val="28"/>
          <w:szCs w:val="28"/>
          <w:lang w:val="en-US"/>
        </w:rPr>
      </w:pPr>
      <w:r w:rsidRPr="00D41FC4">
        <w:rPr>
          <w:rFonts w:ascii="Georgia" w:hAnsi="Georgia" w:cs="Arial"/>
          <w:color w:val="141414"/>
          <w:sz w:val="28"/>
          <w:szCs w:val="28"/>
          <w:lang w:val="en-US"/>
        </w:rPr>
        <w:t>Para ello</w:t>
      </w:r>
      <w:r w:rsidR="00D41FC4" w:rsidRPr="00D41FC4">
        <w:rPr>
          <w:rFonts w:ascii="Georgia" w:hAnsi="Georgia" w:cs="Arial"/>
          <w:color w:val="141414"/>
          <w:sz w:val="28"/>
          <w:szCs w:val="28"/>
          <w:lang w:val="en-US"/>
        </w:rPr>
        <w:t xml:space="preserve"> apoyo el emprendimiento y la innovación con impacto ofreciendo: </w:t>
      </w:r>
    </w:p>
    <w:p w14:paraId="55F7B3A9" w14:textId="1432C315" w:rsidR="004F50CE" w:rsidRPr="00D41FC4" w:rsidRDefault="00D41FC4" w:rsidP="00D41FC4">
      <w:pPr>
        <w:pStyle w:val="ListParagraph"/>
        <w:widowControl w:val="0"/>
        <w:numPr>
          <w:ilvl w:val="0"/>
          <w:numId w:val="66"/>
        </w:numPr>
        <w:autoSpaceDE w:val="0"/>
        <w:autoSpaceDN w:val="0"/>
        <w:adjustRightInd w:val="0"/>
        <w:spacing w:line="360" w:lineRule="auto"/>
        <w:jc w:val="both"/>
        <w:rPr>
          <w:rFonts w:ascii="Georgia" w:hAnsi="Georgia" w:cs="Arial"/>
          <w:color w:val="141414"/>
          <w:sz w:val="28"/>
          <w:szCs w:val="28"/>
          <w:u w:color="0E24B2"/>
          <w:lang w:val="en-US"/>
        </w:rPr>
      </w:pPr>
      <w:r w:rsidRPr="00D41FC4">
        <w:rPr>
          <w:rFonts w:ascii="Georgia" w:hAnsi="Georgia" w:cs="Arial"/>
          <w:b/>
          <w:color w:val="141414"/>
          <w:sz w:val="28"/>
          <w:szCs w:val="28"/>
          <w:u w:color="0E24B2"/>
          <w:lang w:val="en-US"/>
        </w:rPr>
        <w:t>Inspiración:</w:t>
      </w:r>
      <w:r w:rsidR="004F50CE" w:rsidRPr="00D41FC4">
        <w:rPr>
          <w:rFonts w:ascii="Georgia" w:hAnsi="Georgia" w:cs="Arial"/>
          <w:color w:val="141414"/>
          <w:sz w:val="28"/>
          <w:szCs w:val="28"/>
          <w:u w:color="0E24B2"/>
          <w:lang w:val="en-US"/>
        </w:rPr>
        <w:t xml:space="preserve"> </w:t>
      </w:r>
      <w:r w:rsidR="001A36A5">
        <w:rPr>
          <w:rFonts w:ascii="Georgia" w:hAnsi="Georgia" w:cs="Arial"/>
          <w:color w:val="141414"/>
          <w:sz w:val="28"/>
          <w:szCs w:val="28"/>
          <w:u w:color="0E24B2"/>
          <w:lang w:val="en-US"/>
        </w:rPr>
        <w:t xml:space="preserve">A través de mi blog </w:t>
      </w:r>
      <w:hyperlink r:id="rId49" w:history="1">
        <w:r w:rsidR="004F50CE" w:rsidRPr="00D41FC4">
          <w:rPr>
            <w:rFonts w:ascii="Georgia" w:hAnsi="Georgia" w:cs="Arial"/>
            <w:color w:val="0E24B2"/>
            <w:sz w:val="28"/>
            <w:szCs w:val="28"/>
            <w:u w:val="single" w:color="0E24B2"/>
            <w:lang w:val="en-US"/>
          </w:rPr>
          <w:t>www.innovationforsocialchange.org</w:t>
        </w:r>
      </w:hyperlink>
      <w:r w:rsidR="001A36A5">
        <w:rPr>
          <w:rFonts w:ascii="Georgia" w:hAnsi="Georgia" w:cs="Arial"/>
          <w:color w:val="141414"/>
          <w:sz w:val="28"/>
          <w:szCs w:val="28"/>
          <w:u w:color="0E24B2"/>
          <w:lang w:val="en-US"/>
        </w:rPr>
        <w:t xml:space="preserve"> que se ha convertido en una página de referencia para innovadores sociales y donde</w:t>
      </w:r>
      <w:r w:rsidR="004F50CE" w:rsidRPr="00D41FC4">
        <w:rPr>
          <w:rFonts w:ascii="Georgia" w:hAnsi="Georgia" w:cs="Arial"/>
          <w:color w:val="141414"/>
          <w:sz w:val="28"/>
          <w:szCs w:val="28"/>
          <w:u w:color="0E24B2"/>
          <w:lang w:val="en-US"/>
        </w:rPr>
        <w:t xml:space="preserve"> encontrarás inspiración y materiales prácticos;</w:t>
      </w:r>
    </w:p>
    <w:p w14:paraId="21A07C21" w14:textId="47FAAE7D" w:rsidR="00D41FC4" w:rsidRPr="00D41FC4" w:rsidRDefault="004F50CE" w:rsidP="00D41FC4">
      <w:pPr>
        <w:pStyle w:val="ListParagraph"/>
        <w:widowControl w:val="0"/>
        <w:numPr>
          <w:ilvl w:val="0"/>
          <w:numId w:val="66"/>
        </w:numPr>
        <w:autoSpaceDE w:val="0"/>
        <w:autoSpaceDN w:val="0"/>
        <w:adjustRightInd w:val="0"/>
        <w:spacing w:line="360" w:lineRule="auto"/>
        <w:jc w:val="both"/>
        <w:rPr>
          <w:rFonts w:ascii="Georgia" w:hAnsi="Georgia" w:cs="Arial"/>
          <w:color w:val="141414"/>
          <w:sz w:val="28"/>
          <w:szCs w:val="28"/>
          <w:lang w:val="en-US"/>
        </w:rPr>
      </w:pPr>
      <w:r w:rsidRPr="00D41FC4">
        <w:rPr>
          <w:rFonts w:ascii="Georgia" w:hAnsi="Georgia" w:cs="Arial"/>
          <w:b/>
          <w:color w:val="141414"/>
          <w:sz w:val="28"/>
          <w:szCs w:val="28"/>
          <w:lang w:val="en-US"/>
        </w:rPr>
        <w:t>Metodologías:</w:t>
      </w:r>
      <w:r w:rsidRPr="00D41FC4">
        <w:rPr>
          <w:rFonts w:ascii="Georgia" w:hAnsi="Georgia" w:cs="Arial"/>
          <w:color w:val="141414"/>
          <w:sz w:val="28"/>
          <w:szCs w:val="28"/>
          <w:lang w:val="en-US"/>
        </w:rPr>
        <w:t xml:space="preserve"> He desarrollado la metodol</w:t>
      </w:r>
      <w:r w:rsidR="00D41FC4">
        <w:rPr>
          <w:rFonts w:ascii="Georgia" w:hAnsi="Georgia" w:cs="Arial"/>
          <w:color w:val="141414"/>
          <w:sz w:val="28"/>
          <w:szCs w:val="28"/>
          <w:lang w:val="en-US"/>
        </w:rPr>
        <w:t>o</w:t>
      </w:r>
      <w:r w:rsidRPr="00D41FC4">
        <w:rPr>
          <w:rFonts w:ascii="Georgia" w:hAnsi="Georgia" w:cs="Arial"/>
          <w:color w:val="141414"/>
          <w:sz w:val="28"/>
          <w:szCs w:val="28"/>
          <w:lang w:val="en-US"/>
        </w:rPr>
        <w:t>gía</w:t>
      </w:r>
      <w:r w:rsidR="00D41FC4">
        <w:rPr>
          <w:rFonts w:ascii="Georgia" w:hAnsi="Georgia" w:cs="Arial"/>
          <w:color w:val="141414"/>
          <w:sz w:val="28"/>
          <w:szCs w:val="28"/>
          <w:lang w:val="en-US"/>
        </w:rPr>
        <w:t xml:space="preserve"> </w:t>
      </w:r>
      <w:r w:rsidRPr="00D41FC4">
        <w:rPr>
          <w:rFonts w:ascii="Georgia" w:hAnsi="Georgia" w:cs="Arial"/>
          <w:color w:val="141414"/>
          <w:sz w:val="28"/>
          <w:szCs w:val="28"/>
          <w:lang w:val="en-US"/>
        </w:rPr>
        <w:t>LABSforChange (o Laboratorios de Cambio) en la que comparto un proceso estructurado en la que te explico paso a paso como generar cambios con sentido;</w:t>
      </w:r>
    </w:p>
    <w:p w14:paraId="2BB27C29" w14:textId="77777777" w:rsidR="00D41FC4" w:rsidRPr="00D41FC4" w:rsidRDefault="00D41FC4" w:rsidP="00D41FC4">
      <w:pPr>
        <w:widowControl w:val="0"/>
        <w:numPr>
          <w:ilvl w:val="0"/>
          <w:numId w:val="66"/>
        </w:numPr>
        <w:tabs>
          <w:tab w:val="left" w:pos="220"/>
          <w:tab w:val="left" w:pos="720"/>
        </w:tabs>
        <w:autoSpaceDE w:val="0"/>
        <w:autoSpaceDN w:val="0"/>
        <w:adjustRightInd w:val="0"/>
        <w:spacing w:after="0" w:line="360" w:lineRule="auto"/>
        <w:jc w:val="both"/>
        <w:rPr>
          <w:rFonts w:ascii="Georgia" w:hAnsi="Georgia" w:cs="Helvetica Neue"/>
          <w:sz w:val="28"/>
          <w:szCs w:val="28"/>
        </w:rPr>
      </w:pPr>
      <w:r w:rsidRPr="00D41FC4">
        <w:rPr>
          <w:rFonts w:ascii="Georgia" w:hAnsi="Georgia" w:cs="Helvetica Neue"/>
          <w:b/>
          <w:bCs/>
          <w:color w:val="101010"/>
          <w:sz w:val="28"/>
          <w:szCs w:val="28"/>
        </w:rPr>
        <w:t>Educación:</w:t>
      </w:r>
      <w:r w:rsidRPr="00D41FC4">
        <w:rPr>
          <w:rFonts w:ascii="Georgia" w:hAnsi="Georgia" w:cs="Helvetica Neue"/>
          <w:color w:val="101010"/>
          <w:sz w:val="28"/>
          <w:szCs w:val="28"/>
        </w:rPr>
        <w:t xml:space="preserve"> </w:t>
      </w:r>
    </w:p>
    <w:p w14:paraId="541DFB32" w14:textId="77777777" w:rsidR="00D41FC4" w:rsidRDefault="00D41FC4" w:rsidP="00D41FC4">
      <w:pPr>
        <w:widowControl w:val="0"/>
        <w:numPr>
          <w:ilvl w:val="1"/>
          <w:numId w:val="66"/>
        </w:numPr>
        <w:tabs>
          <w:tab w:val="left" w:pos="940"/>
          <w:tab w:val="left" w:pos="1440"/>
        </w:tabs>
        <w:autoSpaceDE w:val="0"/>
        <w:autoSpaceDN w:val="0"/>
        <w:adjustRightInd w:val="0"/>
        <w:spacing w:after="0" w:line="360" w:lineRule="auto"/>
        <w:jc w:val="both"/>
        <w:rPr>
          <w:rFonts w:ascii="Georgia" w:hAnsi="Georgia" w:cs="Helvetica Neue"/>
          <w:color w:val="434343"/>
          <w:sz w:val="28"/>
          <w:szCs w:val="28"/>
        </w:rPr>
      </w:pPr>
      <w:r w:rsidRPr="00D41FC4">
        <w:rPr>
          <w:rFonts w:ascii="Georgia" w:hAnsi="Georgia" w:cs="Helvetica Neue"/>
          <w:color w:val="101010"/>
          <w:sz w:val="28"/>
          <w:szCs w:val="28"/>
        </w:rPr>
        <w:t xml:space="preserve">En los últimos 5 años hemos organizado más de 200 talleres, cursos y conferencias, trabajando con Universidades, escuelas de negocio y organizaciones de distintos sectores. </w:t>
      </w:r>
    </w:p>
    <w:p w14:paraId="50A0F8BD" w14:textId="0BA0E430" w:rsidR="00D41FC4" w:rsidRPr="00D41FC4" w:rsidRDefault="00D41FC4" w:rsidP="00D41FC4">
      <w:pPr>
        <w:widowControl w:val="0"/>
        <w:numPr>
          <w:ilvl w:val="1"/>
          <w:numId w:val="66"/>
        </w:numPr>
        <w:tabs>
          <w:tab w:val="left" w:pos="940"/>
          <w:tab w:val="left" w:pos="1440"/>
        </w:tabs>
        <w:autoSpaceDE w:val="0"/>
        <w:autoSpaceDN w:val="0"/>
        <w:adjustRightInd w:val="0"/>
        <w:spacing w:after="0" w:line="360" w:lineRule="auto"/>
        <w:jc w:val="both"/>
        <w:rPr>
          <w:rFonts w:ascii="Georgia" w:hAnsi="Georgia" w:cs="Helvetica Neue"/>
          <w:color w:val="434343"/>
          <w:sz w:val="28"/>
          <w:szCs w:val="28"/>
        </w:rPr>
      </w:pPr>
      <w:r>
        <w:rPr>
          <w:rFonts w:ascii="Georgia" w:hAnsi="Georgia" w:cs="Helvetica Neue"/>
          <w:color w:val="434343"/>
          <w:sz w:val="28"/>
          <w:szCs w:val="28"/>
        </w:rPr>
        <w:t xml:space="preserve">También soy </w:t>
      </w:r>
      <w:r>
        <w:rPr>
          <w:rFonts w:ascii="Georgia" w:hAnsi="Georgia" w:cs="Helvetica"/>
          <w:b/>
          <w:color w:val="262626"/>
          <w:sz w:val="28"/>
          <w:szCs w:val="28"/>
        </w:rPr>
        <w:t>p</w:t>
      </w:r>
      <w:r w:rsidRPr="00D41FC4">
        <w:rPr>
          <w:rFonts w:ascii="Georgia" w:hAnsi="Georgia" w:cs="Helvetica"/>
          <w:b/>
          <w:color w:val="262626"/>
          <w:sz w:val="28"/>
          <w:szCs w:val="28"/>
        </w:rPr>
        <w:t>rofesora asociada</w:t>
      </w:r>
      <w:r w:rsidRPr="00D41FC4">
        <w:rPr>
          <w:rFonts w:ascii="Georgia" w:hAnsi="Georgia" w:cs="Helvetica"/>
          <w:color w:val="262626"/>
          <w:sz w:val="28"/>
          <w:szCs w:val="28"/>
        </w:rPr>
        <w:t xml:space="preserve"> en Universidades y Escuelas de Negocios (Instituto de Empresa, Escuela de Organización Industrial, Universidad de Alcalá entre otras); facilitadora formada en Design Thinking, U theory, Appreciative Inquiry y otras metodologías de innovación social. También forma parte del equipo de formadores de la metodología “Suéñalo, hazlo” de </w:t>
      </w:r>
      <w:r w:rsidRPr="00D41FC4">
        <w:rPr>
          <w:rFonts w:ascii="Georgia" w:hAnsi="Georgia" w:cs="Helvetica"/>
          <w:color w:val="262626"/>
          <w:sz w:val="28"/>
          <w:szCs w:val="28"/>
        </w:rPr>
        <w:lastRenderedPageBreak/>
        <w:t xml:space="preserve">Ashoka y  es Coach certificada por la ICF. </w:t>
      </w:r>
    </w:p>
    <w:p w14:paraId="588A2177" w14:textId="77777777" w:rsidR="00D41FC4" w:rsidRPr="00D41FC4" w:rsidRDefault="00D41FC4" w:rsidP="00D41FC4">
      <w:pPr>
        <w:widowControl w:val="0"/>
        <w:numPr>
          <w:ilvl w:val="1"/>
          <w:numId w:val="66"/>
        </w:numPr>
        <w:tabs>
          <w:tab w:val="left" w:pos="940"/>
          <w:tab w:val="left" w:pos="1440"/>
        </w:tabs>
        <w:autoSpaceDE w:val="0"/>
        <w:autoSpaceDN w:val="0"/>
        <w:adjustRightInd w:val="0"/>
        <w:spacing w:after="0" w:line="360" w:lineRule="auto"/>
        <w:jc w:val="both"/>
        <w:rPr>
          <w:rFonts w:ascii="Georgia" w:hAnsi="Georgia" w:cs="Helvetica Neue"/>
          <w:color w:val="434343"/>
          <w:sz w:val="28"/>
          <w:szCs w:val="28"/>
        </w:rPr>
      </w:pPr>
      <w:r w:rsidRPr="00D41FC4">
        <w:rPr>
          <w:rFonts w:ascii="Georgia" w:hAnsi="Georgia" w:cs="Helvetica Neue"/>
          <w:color w:val="101010"/>
          <w:sz w:val="28"/>
          <w:szCs w:val="28"/>
        </w:rPr>
        <w:t xml:space="preserve">Durante el 2015 estamos trabajando en la transformación de la metodología </w:t>
      </w:r>
      <w:r w:rsidRPr="00D41FC4">
        <w:rPr>
          <w:rFonts w:ascii="Georgia" w:hAnsi="Georgia" w:cs="Helvetica Neue"/>
          <w:b/>
          <w:bCs/>
          <w:color w:val="101010"/>
          <w:sz w:val="28"/>
          <w:szCs w:val="28"/>
        </w:rPr>
        <w:t>LABsforChange</w:t>
      </w:r>
      <w:r w:rsidRPr="00D41FC4">
        <w:rPr>
          <w:rFonts w:ascii="Georgia" w:hAnsi="Georgia" w:cs="Helvetica Neue"/>
          <w:color w:val="101010"/>
          <w:sz w:val="28"/>
          <w:szCs w:val="28"/>
        </w:rPr>
        <w:t xml:space="preserve"> (Laboratorios de Cambio) en un libro y en curso online para que tú también puedas beneficiarte de ella. Estará disponible en los próximos meses. Suscríbete a la página y te iremos contando los avances.</w:t>
      </w:r>
    </w:p>
    <w:p w14:paraId="7B26C5B6" w14:textId="68B4DFD5" w:rsidR="00D41FC4" w:rsidRPr="00D41FC4" w:rsidRDefault="00D41FC4" w:rsidP="00D41FC4">
      <w:pPr>
        <w:widowControl w:val="0"/>
        <w:numPr>
          <w:ilvl w:val="0"/>
          <w:numId w:val="66"/>
        </w:numPr>
        <w:tabs>
          <w:tab w:val="left" w:pos="220"/>
          <w:tab w:val="left" w:pos="720"/>
        </w:tabs>
        <w:autoSpaceDE w:val="0"/>
        <w:autoSpaceDN w:val="0"/>
        <w:adjustRightInd w:val="0"/>
        <w:spacing w:after="0" w:line="360" w:lineRule="auto"/>
        <w:jc w:val="both"/>
        <w:rPr>
          <w:rFonts w:ascii="Georgia" w:hAnsi="Georgia" w:cs="Helvetica Neue"/>
          <w:color w:val="434343"/>
          <w:sz w:val="28"/>
          <w:szCs w:val="28"/>
        </w:rPr>
      </w:pPr>
      <w:r w:rsidRPr="00D41FC4">
        <w:rPr>
          <w:rFonts w:ascii="Georgia" w:hAnsi="Georgia" w:cs="Helvetica Neue"/>
          <w:b/>
          <w:bCs/>
          <w:color w:val="101010"/>
          <w:sz w:val="28"/>
          <w:szCs w:val="28"/>
        </w:rPr>
        <w:t>Mentorización y coaching:</w:t>
      </w:r>
      <w:r w:rsidRPr="00D41FC4">
        <w:rPr>
          <w:rFonts w:ascii="Georgia" w:hAnsi="Georgia" w:cs="Helvetica Neue"/>
          <w:color w:val="101010"/>
          <w:sz w:val="28"/>
          <w:szCs w:val="28"/>
        </w:rPr>
        <w:t xml:space="preserve"> En estos momentos trabajamos mentorizando emprendedores e innovaciones sociales en todo el mundo en colaboración con premios y programas, como el EIB Institute Social Innovation Tournament, the Cheryl Blair Foundation, los premios jóvenes emprendedores sociales</w:t>
      </w:r>
      <w:r>
        <w:rPr>
          <w:rFonts w:ascii="Georgia" w:hAnsi="Georgia" w:cs="Helvetica Neue"/>
          <w:color w:val="101010"/>
          <w:sz w:val="28"/>
          <w:szCs w:val="28"/>
        </w:rPr>
        <w:t xml:space="preserve"> (JES) </w:t>
      </w:r>
      <w:r w:rsidR="00C352C3">
        <w:rPr>
          <w:rFonts w:ascii="Georgia" w:hAnsi="Georgia" w:cs="Helvetica Neue"/>
          <w:color w:val="101010"/>
          <w:sz w:val="28"/>
          <w:szCs w:val="28"/>
        </w:rPr>
        <w:t xml:space="preserve"> de la</w:t>
      </w:r>
      <w:r w:rsidRPr="00D41FC4">
        <w:rPr>
          <w:rFonts w:ascii="Georgia" w:hAnsi="Georgia" w:cs="Helvetica Neue"/>
          <w:color w:val="101010"/>
          <w:sz w:val="28"/>
          <w:szCs w:val="28"/>
        </w:rPr>
        <w:t xml:space="preserve"> U</w:t>
      </w:r>
      <w:r w:rsidR="00C352C3">
        <w:rPr>
          <w:rFonts w:ascii="Georgia" w:hAnsi="Georgia" w:cs="Helvetica Neue"/>
          <w:color w:val="101010"/>
          <w:sz w:val="28"/>
          <w:szCs w:val="28"/>
        </w:rPr>
        <w:t>niversidad Europea de Madrid,</w:t>
      </w:r>
      <w:r w:rsidRPr="00D41FC4">
        <w:rPr>
          <w:rFonts w:ascii="Georgia" w:hAnsi="Georgia" w:cs="Helvetica Neue"/>
          <w:color w:val="101010"/>
          <w:sz w:val="28"/>
          <w:szCs w:val="28"/>
        </w:rPr>
        <w:t xml:space="preserve"> entre otros.</w:t>
      </w:r>
    </w:p>
    <w:p w14:paraId="0F4A47B4" w14:textId="79FF712F" w:rsidR="004F50CE" w:rsidRPr="001A36A5" w:rsidRDefault="00D41FC4" w:rsidP="00D41FC4">
      <w:pPr>
        <w:widowControl w:val="0"/>
        <w:numPr>
          <w:ilvl w:val="0"/>
          <w:numId w:val="66"/>
        </w:numPr>
        <w:tabs>
          <w:tab w:val="left" w:pos="220"/>
          <w:tab w:val="left" w:pos="720"/>
        </w:tabs>
        <w:autoSpaceDE w:val="0"/>
        <w:autoSpaceDN w:val="0"/>
        <w:adjustRightInd w:val="0"/>
        <w:spacing w:after="0" w:line="360" w:lineRule="auto"/>
        <w:jc w:val="both"/>
        <w:rPr>
          <w:rFonts w:ascii="Georgia" w:hAnsi="Georgia" w:cs="Helvetica Neue"/>
          <w:color w:val="434343"/>
          <w:sz w:val="28"/>
          <w:szCs w:val="28"/>
          <w:u w:color="0C0BA2"/>
        </w:rPr>
      </w:pPr>
      <w:r w:rsidRPr="00D41FC4">
        <w:rPr>
          <w:rFonts w:ascii="Georgia" w:hAnsi="Georgia" w:cs="Helvetica Neue"/>
          <w:b/>
          <w:bCs/>
          <w:color w:val="101010"/>
          <w:sz w:val="28"/>
          <w:szCs w:val="28"/>
        </w:rPr>
        <w:t>Apoyando y creando proyectos</w:t>
      </w:r>
      <w:r w:rsidRPr="00D41FC4">
        <w:rPr>
          <w:rFonts w:ascii="Georgia" w:hAnsi="Georgia" w:cs="Helvetica Neue"/>
          <w:color w:val="101010"/>
          <w:sz w:val="28"/>
          <w:szCs w:val="28"/>
        </w:rPr>
        <w:t>: He fundado un thinktank que promueve la innovación social (</w:t>
      </w:r>
      <w:hyperlink r:id="rId50" w:history="1">
        <w:r w:rsidRPr="00D41FC4">
          <w:rPr>
            <w:rFonts w:ascii="Georgia" w:hAnsi="Georgia" w:cs="Helvetica Neue"/>
            <w:color w:val="0C0BA2"/>
            <w:sz w:val="28"/>
            <w:szCs w:val="28"/>
            <w:u w:val="single" w:color="0C0BA2"/>
          </w:rPr>
          <w:t>Innovation for Change Institute</w:t>
        </w:r>
      </w:hyperlink>
      <w:r w:rsidRPr="00D41FC4">
        <w:rPr>
          <w:rFonts w:ascii="Georgia" w:hAnsi="Georgia" w:cs="Helvetica Neue"/>
          <w:color w:val="101010"/>
          <w:sz w:val="28"/>
          <w:szCs w:val="28"/>
        </w:rPr>
        <w:t xml:space="preserve">) y una plataforma colaborativa </w:t>
      </w:r>
      <w:hyperlink r:id="rId51" w:history="1">
        <w:r w:rsidR="00C352C3" w:rsidRPr="00C352C3">
          <w:rPr>
            <w:rStyle w:val="Hyperlink"/>
            <w:rFonts w:ascii="Georgia" w:hAnsi="Georgia" w:cs="Helvetica Neue"/>
            <w:sz w:val="28"/>
            <w:szCs w:val="28"/>
          </w:rPr>
          <w:t>http://www.PlanetforChang.org</w:t>
        </w:r>
      </w:hyperlink>
      <w:r w:rsidR="001A36A5">
        <w:rPr>
          <w:rFonts w:ascii="Georgia" w:hAnsi="Georgia" w:cs="Helvetica Neue"/>
          <w:color w:val="101010"/>
          <w:sz w:val="28"/>
          <w:szCs w:val="28"/>
        </w:rPr>
        <w:t xml:space="preserve">, </w:t>
      </w:r>
      <w:r w:rsidRPr="00D41FC4">
        <w:rPr>
          <w:rFonts w:ascii="Georgia" w:hAnsi="Georgia" w:cs="Helvetica Neue"/>
          <w:color w:val="101010"/>
          <w:sz w:val="28"/>
          <w:szCs w:val="28"/>
        </w:rPr>
        <w:t>soy socio inversor de una incubadora de emprendimiento social (</w:t>
      </w:r>
      <w:r w:rsidRPr="00D41FC4">
        <w:rPr>
          <w:rFonts w:ascii="Georgia" w:hAnsi="Georgia" w:cs="Helvetica Neue"/>
          <w:color w:val="0C0BA2"/>
          <w:sz w:val="28"/>
          <w:szCs w:val="28"/>
          <w:u w:val="single" w:color="0C0BA2"/>
        </w:rPr>
        <w:t xml:space="preserve">Impact HUB Madrid) y </w:t>
      </w:r>
      <w:r w:rsidRPr="00D41FC4">
        <w:rPr>
          <w:rFonts w:ascii="Georgia" w:hAnsi="Georgia" w:cs="Helvetica Neue"/>
          <w:color w:val="101010"/>
          <w:sz w:val="28"/>
          <w:szCs w:val="28"/>
          <w:u w:color="0C0BA2"/>
        </w:rPr>
        <w:t xml:space="preserve">miembro del Venture Board de Ashoka. </w:t>
      </w:r>
    </w:p>
    <w:p w14:paraId="7A54F61C"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28728703"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4CB234DD"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6BA2D3A8"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609EB7E9"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4402446E"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2608012F"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1C223E05"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68B20667" w14:textId="77777777" w:rsidR="001A36A5"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b/>
          <w:bCs/>
          <w:color w:val="101010"/>
          <w:sz w:val="28"/>
          <w:szCs w:val="28"/>
        </w:rPr>
      </w:pPr>
    </w:p>
    <w:p w14:paraId="10AC8D4A" w14:textId="77777777" w:rsidR="001A36A5" w:rsidRPr="00D41FC4" w:rsidRDefault="001A36A5" w:rsidP="001A36A5">
      <w:pPr>
        <w:widowControl w:val="0"/>
        <w:tabs>
          <w:tab w:val="left" w:pos="220"/>
          <w:tab w:val="left" w:pos="720"/>
        </w:tabs>
        <w:autoSpaceDE w:val="0"/>
        <w:autoSpaceDN w:val="0"/>
        <w:adjustRightInd w:val="0"/>
        <w:spacing w:after="0" w:line="360" w:lineRule="auto"/>
        <w:ind w:left="720"/>
        <w:jc w:val="both"/>
        <w:rPr>
          <w:rFonts w:ascii="Georgia" w:hAnsi="Georgia" w:cs="Helvetica Neue"/>
          <w:color w:val="434343"/>
          <w:sz w:val="28"/>
          <w:szCs w:val="28"/>
          <w:u w:color="0C0BA2"/>
        </w:rPr>
      </w:pPr>
    </w:p>
    <w:p w14:paraId="7E850D4E" w14:textId="49526E0E" w:rsidR="00EE6B9C" w:rsidRPr="003E689E" w:rsidRDefault="00EE6B9C" w:rsidP="00EE6B9C">
      <w:pPr>
        <w:pStyle w:val="ebook-T1"/>
        <w:rPr>
          <w:rFonts w:ascii="Georgia" w:hAnsi="Georgia"/>
        </w:rPr>
      </w:pPr>
      <w:r w:rsidRPr="003E689E">
        <w:rPr>
          <w:rFonts w:ascii="Georgia" w:hAnsi="Georgia"/>
        </w:rPr>
        <w:t>Bibliografía</w:t>
      </w:r>
      <w:bookmarkEnd w:id="25"/>
    </w:p>
    <w:p w14:paraId="6AD81406" w14:textId="77777777" w:rsidR="00EE6B9C" w:rsidRDefault="00EE6B9C"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
    <w:p w14:paraId="6FE2FD27" w14:textId="2B0DD9CF"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rPr>
        <w:t xml:space="preserve">Anupindi, Ravi y S. Sivakumar. </w:t>
      </w:r>
      <w:r w:rsidRPr="003E689E">
        <w:rPr>
          <w:rFonts w:ascii="Georgia" w:hAnsi="Georgia" w:cs="Arial"/>
          <w:color w:val="000000"/>
          <w:sz w:val="24"/>
          <w:szCs w:val="24"/>
          <w:lang w:val="en-US"/>
        </w:rPr>
        <w:t>“A Platform Strategy for Rural Transformation.” En Business Solutions for the Global Poor: Creating Economic and Social Value, editado por Kasturi Rangan, John Quelch, Gustavo Herrero y Brooke Barton, 193–206. San Francisco, CA: Jossey-Bass, 2007.</w:t>
      </w:r>
    </w:p>
    <w:p w14:paraId="6CA67B09" w14:textId="4D69B756"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Austin, James E. Agroindustrial Project Analysis: Critical Design Factors. 2a ed. Baltimore, MD: Johns Hopkins University Press, 1992.</w:t>
      </w:r>
    </w:p>
    <w:p w14:paraId="49CAECC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roofErr w:type="gramStart"/>
      <w:r w:rsidRPr="003E689E">
        <w:rPr>
          <w:rFonts w:ascii="Georgia" w:hAnsi="Georgia" w:cs="Arial"/>
          <w:color w:val="000000"/>
          <w:sz w:val="24"/>
          <w:szCs w:val="24"/>
          <w:lang w:val="en-US"/>
        </w:rPr>
        <w:t>Austin, James E. y Michael Chu.</w:t>
      </w:r>
      <w:proofErr w:type="gramEnd"/>
      <w:r w:rsidRPr="003E689E">
        <w:rPr>
          <w:rFonts w:ascii="Georgia" w:hAnsi="Georgia" w:cs="Arial"/>
          <w:color w:val="000000"/>
          <w:sz w:val="24"/>
          <w:szCs w:val="24"/>
          <w:lang w:val="en-US"/>
        </w:rPr>
        <w:t xml:space="preserve"> “Business and Low-Income Sectors: Finding a New Weapon to Attack Poverty.” </w:t>
      </w:r>
      <w:r w:rsidRPr="003E689E">
        <w:rPr>
          <w:rFonts w:ascii="Georgia" w:hAnsi="Georgia" w:cs="Arial"/>
          <w:color w:val="000000"/>
          <w:sz w:val="24"/>
          <w:szCs w:val="24"/>
        </w:rPr>
        <w:t>ReVista: Harvard Review of Latin America (2006).</w:t>
      </w:r>
    </w:p>
    <w:p w14:paraId="79045D33" w14:textId="6BAB2F9D"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rPr>
        <w:t xml:space="preserve">Austin, James, Roberto Gutiérrez, Enrique Ogliastri y Ezequiel Reficco. </w:t>
      </w:r>
      <w:r w:rsidRPr="003E689E">
        <w:rPr>
          <w:rFonts w:ascii="Georgia" w:hAnsi="Georgia" w:cs="Arial"/>
          <w:color w:val="000000"/>
          <w:sz w:val="24"/>
          <w:szCs w:val="24"/>
          <w:lang w:val="en-US"/>
        </w:rPr>
        <w:t>“Capitalizing on Convergence.” Stanford Social Innovation Review (invierno de 2007): 24–31.</w:t>
      </w:r>
    </w:p>
    <w:p w14:paraId="21F3F23C" w14:textId="7118B014"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Austin, James, Herman Leonard, Ezequiel Reficco y Jane Wei-Skillern.</w:t>
      </w:r>
      <w:proofErr w:type="gramEnd"/>
      <w:r w:rsidRPr="003E689E">
        <w:rPr>
          <w:rFonts w:ascii="Georgia" w:hAnsi="Georgia" w:cs="Arial"/>
          <w:color w:val="000000"/>
          <w:sz w:val="24"/>
          <w:szCs w:val="24"/>
          <w:lang w:val="en-US"/>
        </w:rPr>
        <w:t xml:space="preserve"> “Corporate Social Entrepreneurship: The New Frontier.” </w:t>
      </w:r>
      <w:proofErr w:type="gramStart"/>
      <w:r w:rsidRPr="003E689E">
        <w:rPr>
          <w:rFonts w:ascii="Georgia" w:hAnsi="Georgia" w:cs="Arial"/>
          <w:color w:val="000000"/>
          <w:sz w:val="24"/>
          <w:szCs w:val="24"/>
          <w:lang w:val="en-US"/>
        </w:rPr>
        <w:t>En The Accountable Corporation.</w:t>
      </w:r>
      <w:proofErr w:type="gramEnd"/>
      <w:r w:rsidRPr="003E689E">
        <w:rPr>
          <w:rFonts w:ascii="Georgia" w:hAnsi="Georgia" w:cs="Arial"/>
          <w:color w:val="000000"/>
          <w:sz w:val="24"/>
          <w:szCs w:val="24"/>
          <w:lang w:val="en-US"/>
        </w:rPr>
        <w:t xml:space="preserve"> </w:t>
      </w:r>
      <w:r w:rsidRPr="003E689E">
        <w:rPr>
          <w:rFonts w:ascii="Georgia" w:hAnsi="Georgia" w:cs="Arial"/>
          <w:color w:val="000000"/>
          <w:sz w:val="24"/>
          <w:szCs w:val="24"/>
        </w:rPr>
        <w:t xml:space="preserve">Volume 3: Corporate Social Responsibility, editado por Marc Epstein y Kirk Hanson. </w:t>
      </w:r>
      <w:r w:rsidRPr="003E689E">
        <w:rPr>
          <w:rFonts w:ascii="Georgia" w:hAnsi="Georgia" w:cs="Arial"/>
          <w:color w:val="000000"/>
          <w:sz w:val="24"/>
          <w:szCs w:val="24"/>
          <w:lang w:val="en-US"/>
        </w:rPr>
        <w:t>Westport, CT: Praeger, 2006.</w:t>
      </w:r>
    </w:p>
    <w:p w14:paraId="7D151FB5" w14:textId="2C541841"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“Social Entrepreneurship: It’s for Corporations, Too.” En Social Entrepreneurship: New Paradigms of Sustainable Social Change, editado por Alex Nicholls. Oxford: Oxford University Press, 2005.</w:t>
      </w:r>
    </w:p>
    <w:p w14:paraId="5A5E939E" w14:textId="313333BB"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Austin, James, Patricia Márquez, Ezequiel Reficco, Gabriel Berger, et al. “Building New Business Value Chains with Low Income Sectors in Latin America.” En Business Solutions for the Global Poor: Creating Economic and Social Value, edi- tado por Kasturi Rangan, John Quelch, Gustavo Herrero y Brooke Barton. </w:t>
      </w:r>
      <w:r w:rsidRPr="003E689E">
        <w:rPr>
          <w:rFonts w:ascii="Georgia" w:hAnsi="Georgia" w:cs="Arial"/>
          <w:color w:val="000000"/>
          <w:sz w:val="24"/>
          <w:szCs w:val="24"/>
        </w:rPr>
        <w:t>San Francisco, CA: Jossey-Bass, 2007.</w:t>
      </w:r>
    </w:p>
    <w:p w14:paraId="578687D2" w14:textId="145456AB"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rPr>
        <w:lastRenderedPageBreak/>
        <w:t xml:space="preserve">Austin, James, Ezequiel Reficco, Gabriel Berger, Rosa María Fischer, et al. </w:t>
      </w:r>
      <w:r w:rsidRPr="003E689E">
        <w:rPr>
          <w:rFonts w:ascii="Georgia" w:hAnsi="Georgia" w:cs="Arial"/>
          <w:color w:val="000000"/>
          <w:sz w:val="24"/>
          <w:szCs w:val="24"/>
          <w:lang w:val="en-US"/>
        </w:rPr>
        <w:t>Social Partnering in Latin America: Lessons Drawn from Collaborations of Businesses and Civil Society Organizations. Cambridge, MA: Universidad de Harvard, David Rockefeller Center for Latin American Studies, distribuido por Harvard University Press, 2004.</w:t>
      </w:r>
    </w:p>
    <w:p w14:paraId="7CF2D7D3" w14:textId="0A907DD9"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Ayyagari, Meghana, Asli Demirguç-Kunt y Thorsten Beck. Small and Medium Enterprises across the Globe: A New Database. </w:t>
      </w:r>
      <w:r w:rsidRPr="003E689E">
        <w:rPr>
          <w:rFonts w:ascii="Georgia" w:hAnsi="Georgia" w:cs="Arial"/>
          <w:color w:val="000000"/>
          <w:sz w:val="24"/>
          <w:szCs w:val="24"/>
        </w:rPr>
        <w:t>SSRN, 2003.</w:t>
      </w:r>
    </w:p>
    <w:p w14:paraId="0B4EB9C9"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Chu, Michael. “Commercial Returns and Social Value: The Case of Microfinance.” </w:t>
      </w:r>
      <w:r w:rsidRPr="003E689E">
        <w:rPr>
          <w:rFonts w:ascii="Georgia" w:hAnsi="Georgia" w:cs="Arial"/>
          <w:color w:val="000000"/>
          <w:sz w:val="24"/>
          <w:szCs w:val="24"/>
        </w:rPr>
        <w:t>Documento presentado en la conferencia sobre pobreza mundial organizada por la Harvard Business School, Boston, MA, 1 al 3 de diciembre de 2005.</w:t>
      </w:r>
    </w:p>
    <w:p w14:paraId="58704495" w14:textId="5B27D70A"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Drucker, Peter F. Innovation and Entrepreneurship: Practice and Principles. 1a ed. Nueva York: Harper &amp; Row, 1985.</w:t>
      </w:r>
    </w:p>
    <w:p w14:paraId="6603E44A"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Easton, Tom. “The Hidden Wealth of the Poor.” </w:t>
      </w:r>
      <w:r w:rsidRPr="003E689E">
        <w:rPr>
          <w:rFonts w:ascii="Georgia" w:hAnsi="Georgia" w:cs="Arial"/>
          <w:color w:val="000000"/>
          <w:sz w:val="24"/>
          <w:szCs w:val="24"/>
        </w:rPr>
        <w:t>The Economist, 5 de noviembre de 2005.</w:t>
      </w:r>
    </w:p>
    <w:p w14:paraId="1743E335" w14:textId="22718A81"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Eliasson, Gunnar. “The Role of Knowledge in Economic Growth.” </w:t>
      </w:r>
      <w:r w:rsidRPr="003E689E">
        <w:rPr>
          <w:rFonts w:ascii="Georgia" w:hAnsi="Georgia" w:cs="Arial"/>
          <w:color w:val="000000"/>
          <w:sz w:val="24"/>
          <w:szCs w:val="24"/>
        </w:rPr>
        <w:t>Estocolmo: Instituto Real de Tecnología, Estocolmo, TRITA-IEO-R, 2000.</w:t>
      </w:r>
    </w:p>
    <w:p w14:paraId="41E4A69B" w14:textId="58C90661"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Elsner, Wolfram. “The ‘New’ Economy: Complexity, Coordination and a Hybrid Governance Approach.” International Journal of Social Economics 31, nro. </w:t>
      </w:r>
      <w:proofErr w:type="gramStart"/>
      <w:r w:rsidRPr="003E689E">
        <w:rPr>
          <w:rFonts w:ascii="Georgia" w:hAnsi="Georgia" w:cs="Arial"/>
          <w:color w:val="000000"/>
          <w:sz w:val="24"/>
          <w:szCs w:val="24"/>
          <w:lang w:val="en-US"/>
        </w:rPr>
        <w:t>11 (2004): 1029–49.</w:t>
      </w:r>
      <w:proofErr w:type="gramEnd"/>
    </w:p>
    <w:p w14:paraId="3728DE41" w14:textId="41C90B73"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Emerson, Jed y Sheila Bonini.</w:t>
      </w:r>
      <w:proofErr w:type="gramEnd"/>
      <w:r w:rsidRPr="003E689E">
        <w:rPr>
          <w:rFonts w:ascii="Georgia" w:hAnsi="Georgia" w:cs="Arial"/>
          <w:color w:val="000000"/>
          <w:sz w:val="24"/>
          <w:szCs w:val="24"/>
          <w:lang w:val="en-US"/>
        </w:rPr>
        <w:t xml:space="preserve"> “The Blended Value Map: Tracking the Intersects and Opportunities of Economic, Social and Environmental Value Creation,” </w:t>
      </w:r>
      <w:hyperlink r:id="rId52" w:history="1">
        <w:r w:rsidRPr="003E689E">
          <w:rPr>
            <w:rStyle w:val="Hyperlink"/>
            <w:rFonts w:ascii="Georgia" w:hAnsi="Georgia" w:cs="Arial"/>
            <w:sz w:val="24"/>
            <w:szCs w:val="24"/>
            <w:lang w:val="en-US"/>
          </w:rPr>
          <w:t>http://www.blendedvalue.org/media/pdf-bv-map.pdf</w:t>
        </w:r>
      </w:hyperlink>
      <w:r w:rsidRPr="003E689E">
        <w:rPr>
          <w:rFonts w:ascii="Georgia" w:hAnsi="Georgia" w:cs="Arial"/>
          <w:color w:val="000000"/>
          <w:sz w:val="24"/>
          <w:szCs w:val="24"/>
          <w:lang w:val="en-US"/>
        </w:rPr>
        <w:t>.</w:t>
      </w:r>
    </w:p>
    <w:p w14:paraId="679CF520" w14:textId="1D2D72DB" w:rsidR="00B70620" w:rsidRPr="006056CC"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roofErr w:type="gramStart"/>
      <w:r w:rsidRPr="003E689E">
        <w:rPr>
          <w:rFonts w:ascii="Georgia" w:hAnsi="Georgia" w:cs="Arial"/>
          <w:color w:val="000000"/>
          <w:sz w:val="24"/>
          <w:szCs w:val="24"/>
          <w:lang w:val="en-US"/>
        </w:rPr>
        <w:t>Epstein, Marc J. y Christopher A. Crane.</w:t>
      </w:r>
      <w:proofErr w:type="gramEnd"/>
      <w:r w:rsidRPr="003E689E">
        <w:rPr>
          <w:rFonts w:ascii="Georgia" w:hAnsi="Georgia" w:cs="Arial"/>
          <w:color w:val="000000"/>
          <w:sz w:val="24"/>
          <w:szCs w:val="24"/>
          <w:lang w:val="en-US"/>
        </w:rPr>
        <w:t xml:space="preserve"> “Alleviating Global Poverty through Microfinance: Factors and Measures of Financial, Economic, and Social Performance.” </w:t>
      </w:r>
      <w:r w:rsidRPr="003E689E">
        <w:rPr>
          <w:rFonts w:ascii="Georgia" w:hAnsi="Georgia" w:cs="Arial"/>
          <w:color w:val="000000"/>
          <w:sz w:val="24"/>
          <w:szCs w:val="24"/>
        </w:rPr>
        <w:t>Documento presentado en la conferencia sobre pobreza mundial or- ganizada por la Harvard Business School, Boston, MA, 1 al 3 de diciembre de 2005.</w:t>
      </w:r>
    </w:p>
    <w:p w14:paraId="163128C0" w14:textId="739BF9BF"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lastRenderedPageBreak/>
        <w:t>Gittell, Ross y Avis Vidal.</w:t>
      </w:r>
      <w:proofErr w:type="gramEnd"/>
      <w:r w:rsidRPr="003E689E">
        <w:rPr>
          <w:rFonts w:ascii="Georgia" w:hAnsi="Georgia" w:cs="Arial"/>
          <w:color w:val="000000"/>
          <w:sz w:val="24"/>
          <w:szCs w:val="24"/>
          <w:lang w:val="en-US"/>
        </w:rPr>
        <w:t xml:space="preserve"> Community Organization: Building Social Capital as a Development Strategy. Londres: Sage, 1998.</w:t>
      </w:r>
    </w:p>
    <w:p w14:paraId="2F9BE6FC" w14:textId="33069BA5"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Goldberg, Ray A. y Kerry Herman.</w:t>
      </w:r>
      <w:proofErr w:type="gramEnd"/>
      <w:r w:rsidRPr="003E689E">
        <w:rPr>
          <w:rFonts w:ascii="Georgia" w:hAnsi="Georgia" w:cs="Arial"/>
          <w:color w:val="000000"/>
          <w:sz w:val="24"/>
          <w:szCs w:val="24"/>
          <w:lang w:val="en-US"/>
        </w:rPr>
        <w:t xml:space="preserve"> “Nestle’s Milk District Model: Economic Development for a Value-Added Food Chain and Improved Nutrition.” En Business Solutions for the Global Poor: Creating Economic and Social Value, edi- tado por Kasturi Rangan, John Quelch, Gustavo </w:t>
      </w:r>
    </w:p>
    <w:p w14:paraId="2ABAAD59" w14:textId="26DAF8B4"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roofErr w:type="gramStart"/>
      <w:r w:rsidRPr="003E689E">
        <w:rPr>
          <w:rFonts w:ascii="Georgia" w:hAnsi="Georgia" w:cs="Arial"/>
          <w:color w:val="000000"/>
          <w:sz w:val="24"/>
          <w:szCs w:val="24"/>
          <w:lang w:val="en-US"/>
        </w:rPr>
        <w:t>Grootaert, Christiaan y Thierry van Bastelaer.</w:t>
      </w:r>
      <w:proofErr w:type="gramEnd"/>
      <w:r w:rsidRPr="003E689E">
        <w:rPr>
          <w:rFonts w:ascii="Georgia" w:hAnsi="Georgia" w:cs="Arial"/>
          <w:color w:val="000000"/>
          <w:sz w:val="24"/>
          <w:szCs w:val="24"/>
          <w:lang w:val="en-US"/>
        </w:rPr>
        <w:t xml:space="preserve"> “Understanding and Measuring Social Capital: A Synthesis of Findings and Recommendations from the Social Capital Initiative.” </w:t>
      </w:r>
      <w:r w:rsidRPr="003E689E">
        <w:rPr>
          <w:rFonts w:ascii="Georgia" w:hAnsi="Georgia" w:cs="Arial"/>
          <w:color w:val="000000"/>
          <w:sz w:val="24"/>
          <w:szCs w:val="24"/>
        </w:rPr>
        <w:t>Washington DC: Banco Mundial, 2001.</w:t>
      </w:r>
    </w:p>
    <w:p w14:paraId="5D82FD38" w14:textId="4B29DD95"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Hagel, John, John Seely Brown y Lang Davison. “Shaping Strategy in a World of Constant Disruption.” Harvard Business Review (octubre de 2008). </w:t>
      </w:r>
      <w:hyperlink r:id="rId53" w:history="1">
        <w:r w:rsidRPr="003E689E">
          <w:rPr>
            <w:rStyle w:val="Hyperlink"/>
            <w:rFonts w:ascii="Georgia" w:hAnsi="Georgia" w:cs="Arial"/>
            <w:sz w:val="24"/>
            <w:szCs w:val="24"/>
            <w:lang w:val="en-US"/>
          </w:rPr>
          <w:t>http://www.johnseelybrown.com/shapingstrategy.pdf</w:t>
        </w:r>
      </w:hyperlink>
    </w:p>
    <w:p w14:paraId="7D7B7DEA" w14:textId="20266B0E"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Hammond, Allen L., William J. Kramer, Robert S. Katz, Julia T. Tran y Courtland Walker. The Next 4 Billion: Market Size and Business Strategy at the Base of the Pyramid. Washington, DC: World Resources Institute y Corporación Financiera Internacional, 2007. </w:t>
      </w:r>
      <w:hyperlink r:id="rId54" w:history="1">
        <w:r w:rsidRPr="003E689E">
          <w:rPr>
            <w:rStyle w:val="Hyperlink"/>
            <w:rFonts w:ascii="Georgia" w:hAnsi="Georgia" w:cs="Arial"/>
            <w:sz w:val="24"/>
            <w:szCs w:val="24"/>
            <w:lang w:val="en-US"/>
          </w:rPr>
          <w:t>http://www.wri.org/publication/the-next-4-billion</w:t>
        </w:r>
      </w:hyperlink>
    </w:p>
    <w:p w14:paraId="114C8702" w14:textId="7CE5CE53"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Hannan, Michael T. y John Freeman.</w:t>
      </w:r>
      <w:proofErr w:type="gramEnd"/>
      <w:r w:rsidRPr="003E689E">
        <w:rPr>
          <w:rFonts w:ascii="Georgia" w:hAnsi="Georgia" w:cs="Arial"/>
          <w:color w:val="000000"/>
          <w:sz w:val="24"/>
          <w:szCs w:val="24"/>
          <w:lang w:val="en-US"/>
        </w:rPr>
        <w:t xml:space="preserve"> Organizational Ecology. Cambridge, MA: Harvard University Press, 1989.</w:t>
      </w:r>
    </w:p>
    <w:p w14:paraId="29A0064C" w14:textId="172948FB"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Hart, Stuart y Clayton Christensen.</w:t>
      </w:r>
      <w:proofErr w:type="gramEnd"/>
      <w:r w:rsidRPr="003E689E">
        <w:rPr>
          <w:rFonts w:ascii="Georgia" w:hAnsi="Georgia" w:cs="Arial"/>
          <w:color w:val="000000"/>
          <w:sz w:val="24"/>
          <w:szCs w:val="24"/>
          <w:lang w:val="en-US"/>
        </w:rPr>
        <w:t xml:space="preserve"> “The Great Leap: Driving Innovation from the Base of the Pyramid.” MIT/Sloan Management Review 44, nro. </w:t>
      </w:r>
      <w:proofErr w:type="gramStart"/>
      <w:r w:rsidRPr="003E689E">
        <w:rPr>
          <w:rFonts w:ascii="Georgia" w:hAnsi="Georgia" w:cs="Arial"/>
          <w:color w:val="000000"/>
          <w:sz w:val="24"/>
          <w:szCs w:val="24"/>
          <w:lang w:val="en-US"/>
        </w:rPr>
        <w:t>1 (2002).</w:t>
      </w:r>
      <w:proofErr w:type="gramEnd"/>
      <w:r w:rsidRPr="003E689E">
        <w:rPr>
          <w:rFonts w:ascii="Georgia" w:hAnsi="Georgia" w:cs="Arial"/>
          <w:color w:val="000000"/>
          <w:sz w:val="24"/>
          <w:szCs w:val="24"/>
          <w:lang w:val="en-US"/>
        </w:rPr>
        <w:t xml:space="preserve"> </w:t>
      </w:r>
      <w:hyperlink r:id="rId55" w:history="1">
        <w:r w:rsidRPr="003E689E">
          <w:rPr>
            <w:rStyle w:val="Hyperlink"/>
            <w:rFonts w:ascii="Georgia" w:hAnsi="Georgia" w:cs="Arial"/>
            <w:sz w:val="24"/>
            <w:szCs w:val="24"/>
            <w:lang w:val="en-US"/>
          </w:rPr>
          <w:t>http://www.stuartlhart.com/sites/stuartlhart.com/files/Hart%20%20Christensen%20Sloan%202003_0.pdf</w:t>
        </w:r>
      </w:hyperlink>
    </w:p>
    <w:p w14:paraId="588012C9" w14:textId="25E17E5B"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proofErr w:type="gramStart"/>
      <w:r w:rsidRPr="003E689E">
        <w:rPr>
          <w:rFonts w:ascii="Georgia" w:hAnsi="Georgia" w:cs="Arial"/>
          <w:color w:val="000000"/>
          <w:sz w:val="24"/>
          <w:szCs w:val="24"/>
          <w:lang w:val="en-US"/>
        </w:rPr>
        <w:t>Hart, Stuart y Ted London.</w:t>
      </w:r>
      <w:proofErr w:type="gramEnd"/>
      <w:r w:rsidRPr="003E689E">
        <w:rPr>
          <w:rFonts w:ascii="Georgia" w:hAnsi="Georgia" w:cs="Arial"/>
          <w:color w:val="000000"/>
          <w:sz w:val="24"/>
          <w:szCs w:val="24"/>
          <w:lang w:val="en-US"/>
        </w:rPr>
        <w:t xml:space="preserve"> “Developing Native Capability: What Multinational Corporations Can Learn from the Base of the Pyramid.” </w:t>
      </w:r>
      <w:r w:rsidRPr="003E689E">
        <w:rPr>
          <w:rFonts w:ascii="Georgia" w:hAnsi="Georgia" w:cs="Arial"/>
          <w:color w:val="000000"/>
          <w:sz w:val="24"/>
          <w:szCs w:val="24"/>
        </w:rPr>
        <w:t>Stanford Social Innovation Review (2005): 28–33.</w:t>
      </w:r>
    </w:p>
    <w:p w14:paraId="445D8C99"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Karnani, Aneel. “The Mirage of Marketing at the Bottom of the Pyramid.” California Management Review 49, nro. </w:t>
      </w:r>
      <w:proofErr w:type="gramStart"/>
      <w:r w:rsidRPr="003E689E">
        <w:rPr>
          <w:rFonts w:ascii="Georgia" w:hAnsi="Georgia" w:cs="Arial"/>
          <w:color w:val="000000"/>
          <w:sz w:val="24"/>
          <w:szCs w:val="24"/>
          <w:lang w:val="en-US"/>
        </w:rPr>
        <w:t>4 (verano de 2007).</w:t>
      </w:r>
      <w:proofErr w:type="gramEnd"/>
    </w:p>
    <w:p w14:paraId="7AC27D64" w14:textId="56B9333D"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lastRenderedPageBreak/>
        <w:t xml:space="preserve">. “Fortune at the Bottom of the Pyramid: A Mirage.” </w:t>
      </w:r>
      <w:proofErr w:type="gramStart"/>
      <w:r w:rsidRPr="003E689E">
        <w:rPr>
          <w:rFonts w:ascii="Georgia" w:hAnsi="Georgia" w:cs="Arial"/>
          <w:color w:val="000000"/>
          <w:sz w:val="24"/>
          <w:szCs w:val="24"/>
          <w:lang w:val="en-US"/>
        </w:rPr>
        <w:t>Documento de trabajo nro.</w:t>
      </w:r>
      <w:proofErr w:type="gramEnd"/>
      <w:r w:rsidRPr="003E689E">
        <w:rPr>
          <w:rFonts w:ascii="Georgia" w:hAnsi="Georgia" w:cs="Arial"/>
          <w:color w:val="000000"/>
          <w:sz w:val="24"/>
          <w:szCs w:val="24"/>
          <w:lang w:val="en-US"/>
        </w:rPr>
        <w:t xml:space="preserve"> </w:t>
      </w:r>
      <w:proofErr w:type="gramStart"/>
      <w:r w:rsidRPr="003E689E">
        <w:rPr>
          <w:rFonts w:ascii="Georgia" w:hAnsi="Georgia" w:cs="Arial"/>
          <w:color w:val="000000"/>
          <w:sz w:val="24"/>
          <w:szCs w:val="24"/>
          <w:lang w:val="en-US"/>
        </w:rPr>
        <w:t>1035, Universidad de Michigan, Stephen M. Ross School of Business, 2006.</w:t>
      </w:r>
      <w:proofErr w:type="gramEnd"/>
    </w:p>
    <w:p w14:paraId="5780066D" w14:textId="4EFEFA73"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Kerlin, Janelle A. “Social Enterprise in the United States and Europe: Understanding and Learning from the Differences.” </w:t>
      </w:r>
      <w:r w:rsidRPr="003E689E">
        <w:rPr>
          <w:rFonts w:ascii="Georgia" w:hAnsi="Georgia" w:cs="Arial"/>
          <w:color w:val="000000"/>
          <w:sz w:val="24"/>
          <w:szCs w:val="24"/>
        </w:rPr>
        <w:t>Voluntas 17, (2006): 247–63.</w:t>
      </w:r>
    </w:p>
    <w:p w14:paraId="7CA9F796" w14:textId="19EF7E42"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Leonard, Herman B. “When Is Doing Business with the Poor Good – for the Poor? A Household and National Income Accounting Approach.” En Business Solutions for the Global Poor: Creating Economic and Social Value, editado por Kasturi Rangan, John Quelch, </w:t>
      </w:r>
    </w:p>
    <w:p w14:paraId="1F8C3DDD"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Gustavo Herrero y Brooke Barton.</w:t>
      </w:r>
      <w:proofErr w:type="gramEnd"/>
      <w:r w:rsidRPr="003E689E">
        <w:rPr>
          <w:rFonts w:ascii="Georgia" w:hAnsi="Georgia" w:cs="Arial"/>
          <w:color w:val="000000"/>
          <w:sz w:val="24"/>
          <w:szCs w:val="24"/>
          <w:lang w:val="en-US"/>
        </w:rPr>
        <w:t xml:space="preserve"> San Francisco, CA: Jossey-Bass, 2007.</w:t>
      </w:r>
    </w:p>
    <w:p w14:paraId="1C5835B7" w14:textId="13CB6E50"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Lodge, George C. “The Corporate Key: Using Big Business to Fight Global Poverty.” </w:t>
      </w:r>
      <w:proofErr w:type="gramStart"/>
      <w:r w:rsidRPr="003E689E">
        <w:rPr>
          <w:rFonts w:ascii="Georgia" w:hAnsi="Georgia" w:cs="Arial"/>
          <w:color w:val="000000"/>
          <w:sz w:val="24"/>
          <w:szCs w:val="24"/>
          <w:lang w:val="en-US"/>
        </w:rPr>
        <w:t>Foreign Affairs 81 nro.</w:t>
      </w:r>
      <w:proofErr w:type="gramEnd"/>
      <w:r w:rsidRPr="003E689E">
        <w:rPr>
          <w:rFonts w:ascii="Georgia" w:hAnsi="Georgia" w:cs="Arial"/>
          <w:color w:val="000000"/>
          <w:sz w:val="24"/>
          <w:szCs w:val="24"/>
          <w:lang w:val="en-US"/>
        </w:rPr>
        <w:t xml:space="preserve"> </w:t>
      </w:r>
      <w:proofErr w:type="gramStart"/>
      <w:r w:rsidRPr="003E689E">
        <w:rPr>
          <w:rFonts w:ascii="Georgia" w:hAnsi="Georgia" w:cs="Arial"/>
          <w:color w:val="000000"/>
          <w:sz w:val="24"/>
          <w:szCs w:val="24"/>
          <w:lang w:val="en-US"/>
        </w:rPr>
        <w:t>4 (2002): 13–18.</w:t>
      </w:r>
      <w:proofErr w:type="gramEnd"/>
    </w:p>
    <w:p w14:paraId="5D22763D" w14:textId="7E53BFB6"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London, Ted. “The Base-of-the-Pyramid Perspective: A New Approach to Poverty Alleviation.” </w:t>
      </w:r>
      <w:proofErr w:type="gramStart"/>
      <w:r w:rsidRPr="003E689E">
        <w:rPr>
          <w:rFonts w:ascii="Georgia" w:hAnsi="Georgia" w:cs="Arial"/>
          <w:color w:val="000000"/>
          <w:sz w:val="24"/>
          <w:szCs w:val="24"/>
          <w:lang w:val="en-US"/>
        </w:rPr>
        <w:t>Documento de trabajo, William Davidson Institute/Stephen M. Ross School of Business, 2008.</w:t>
      </w:r>
      <w:proofErr w:type="gramEnd"/>
    </w:p>
    <w:p w14:paraId="5174B777" w14:textId="6DEEA259"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 </w:t>
      </w:r>
      <w:proofErr w:type="gramStart"/>
      <w:r w:rsidRPr="003E689E">
        <w:rPr>
          <w:rFonts w:ascii="Georgia" w:hAnsi="Georgia" w:cs="Arial"/>
          <w:color w:val="000000"/>
          <w:sz w:val="24"/>
          <w:szCs w:val="24"/>
          <w:lang w:val="en-US"/>
        </w:rPr>
        <w:t>London, Ted y Stuart L. Hart.</w:t>
      </w:r>
      <w:proofErr w:type="gramEnd"/>
      <w:r w:rsidRPr="003E689E">
        <w:rPr>
          <w:rFonts w:ascii="Georgia" w:hAnsi="Georgia" w:cs="Arial"/>
          <w:color w:val="000000"/>
          <w:sz w:val="24"/>
          <w:szCs w:val="24"/>
          <w:lang w:val="en-US"/>
        </w:rPr>
        <w:t xml:space="preserve"> “Reinventing Strategies for Emerging Markets: Beyond the Transnational Model.” </w:t>
      </w:r>
      <w:proofErr w:type="gramStart"/>
      <w:r w:rsidRPr="003E689E">
        <w:rPr>
          <w:rFonts w:ascii="Georgia" w:hAnsi="Georgia" w:cs="Arial"/>
          <w:color w:val="000000"/>
          <w:sz w:val="24"/>
          <w:szCs w:val="24"/>
          <w:lang w:val="en-US"/>
        </w:rPr>
        <w:t>Journal of International Business Studies 35 (2004): 350–70.</w:t>
      </w:r>
      <w:proofErr w:type="gramEnd"/>
    </w:p>
    <w:p w14:paraId="2AF69156" w14:textId="76D72CA3"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Mellor, John W. “Faster, More Equitable Growth—The Relation Between Growth in Agriculture and Poverty Reduction Agricultural Policy.” </w:t>
      </w:r>
      <w:proofErr w:type="gramStart"/>
      <w:r w:rsidRPr="003E689E">
        <w:rPr>
          <w:rFonts w:ascii="Georgia" w:hAnsi="Georgia" w:cs="Arial"/>
          <w:color w:val="000000"/>
          <w:sz w:val="24"/>
          <w:szCs w:val="24"/>
          <w:lang w:val="en-US"/>
        </w:rPr>
        <w:t>En Development Project Research Report.</w:t>
      </w:r>
      <w:proofErr w:type="gramEnd"/>
      <w:r w:rsidRPr="003E689E">
        <w:rPr>
          <w:rFonts w:ascii="Georgia" w:hAnsi="Georgia" w:cs="Arial"/>
          <w:color w:val="000000"/>
          <w:sz w:val="24"/>
          <w:szCs w:val="24"/>
          <w:lang w:val="en-US"/>
        </w:rPr>
        <w:t xml:space="preserve"> Cambridge, MA: Abt Associates Inc., octubre de 1999.</w:t>
      </w:r>
    </w:p>
    <w:p w14:paraId="34AA2C84" w14:textId="37D8503E" w:rsidR="00B70620" w:rsidRPr="006056CC"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Milstein, M. B., Ted London y Stuart Hart. “Revolutionary Routines: Capturing the Opportunity for Creating a More Inclusive Capitalism.” En Handbook of Cooperative Colaboration: New Designs and Dynamics, editado por S. K. Piderit, R. E. Fry y D. L. Cooperrider. </w:t>
      </w:r>
      <w:r w:rsidRPr="003E689E">
        <w:rPr>
          <w:rFonts w:ascii="Georgia" w:hAnsi="Georgia" w:cs="Arial"/>
          <w:color w:val="000000"/>
          <w:sz w:val="24"/>
          <w:szCs w:val="24"/>
        </w:rPr>
        <w:t>Stanford, CA: Stanford University Press, 2007.</w:t>
      </w:r>
    </w:p>
    <w:p w14:paraId="1B4CA5B8" w14:textId="1380085B"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Moore, James F. The Death of Competition: Leadership &amp; Strategy in the Age of </w:t>
      </w:r>
      <w:r w:rsidRPr="003E689E">
        <w:rPr>
          <w:rFonts w:ascii="Georgia" w:hAnsi="Georgia" w:cs="Arial"/>
          <w:color w:val="000000"/>
          <w:sz w:val="24"/>
          <w:szCs w:val="24"/>
          <w:lang w:val="en-US"/>
        </w:rPr>
        <w:lastRenderedPageBreak/>
        <w:t>Business Ecosystems. Nueva York: HarperBusiness, 1996.</w:t>
      </w:r>
    </w:p>
    <w:p w14:paraId="13061780" w14:textId="3983CC96"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Porter, Michael E. </w:t>
      </w:r>
      <w:proofErr w:type="gramStart"/>
      <w:r w:rsidRPr="003E689E">
        <w:rPr>
          <w:rFonts w:ascii="Georgia" w:hAnsi="Georgia" w:cs="Arial"/>
          <w:color w:val="000000"/>
          <w:sz w:val="24"/>
          <w:szCs w:val="24"/>
          <w:lang w:val="en-US"/>
        </w:rPr>
        <w:t>The Competitive Advantage of Nations.</w:t>
      </w:r>
      <w:proofErr w:type="gramEnd"/>
      <w:r w:rsidRPr="003E689E">
        <w:rPr>
          <w:rFonts w:ascii="Georgia" w:hAnsi="Georgia" w:cs="Arial"/>
          <w:color w:val="000000"/>
          <w:sz w:val="24"/>
          <w:szCs w:val="24"/>
          <w:lang w:val="en-US"/>
        </w:rPr>
        <w:t xml:space="preserve"> Nueva York: The Free Press, 1990.</w:t>
      </w:r>
    </w:p>
    <w:p w14:paraId="6BC03721"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Prahalad, C. K.</w:t>
      </w:r>
      <w:proofErr w:type="gramEnd"/>
      <w:r w:rsidRPr="003E689E">
        <w:rPr>
          <w:rFonts w:ascii="Georgia" w:hAnsi="Georgia" w:cs="Arial"/>
          <w:color w:val="000000"/>
          <w:sz w:val="24"/>
          <w:szCs w:val="24"/>
          <w:lang w:val="en-US"/>
        </w:rPr>
        <w:t xml:space="preserve"> The Fortune at the Bottom of the Pyramid: Eradicating Poverty through Profits. Upper Saddle River, NJ: Wharton School Publishing, 2005.</w:t>
      </w:r>
    </w:p>
    <w:p w14:paraId="780D0E04" w14:textId="40156905"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 “The Innovation Sandbox.” Strategy + Business, 2005, 1–10. . “Why Selling to the Poor Makes for Good Business.” </w:t>
      </w:r>
      <w:r w:rsidRPr="003E689E">
        <w:rPr>
          <w:rFonts w:ascii="Georgia" w:hAnsi="Georgia" w:cs="Arial"/>
          <w:color w:val="000000"/>
          <w:sz w:val="24"/>
          <w:szCs w:val="24"/>
        </w:rPr>
        <w:t xml:space="preserve">Fortune, 15 de noviembre de 2004, 70–72. Prahalad, C. K. y Allen Hammond. </w:t>
      </w:r>
      <w:r w:rsidRPr="003E689E">
        <w:rPr>
          <w:rFonts w:ascii="Georgia" w:hAnsi="Georgia" w:cs="Arial"/>
          <w:color w:val="000000"/>
          <w:sz w:val="24"/>
          <w:szCs w:val="24"/>
          <w:lang w:val="en-US"/>
        </w:rPr>
        <w:t xml:space="preserve">“Serving the World’s Poor, Profitably.” </w:t>
      </w:r>
      <w:proofErr w:type="gramStart"/>
      <w:r w:rsidRPr="003E689E">
        <w:rPr>
          <w:rFonts w:ascii="Georgia" w:hAnsi="Georgia" w:cs="Arial"/>
          <w:color w:val="000000"/>
          <w:sz w:val="24"/>
          <w:szCs w:val="24"/>
          <w:lang w:val="en-US"/>
        </w:rPr>
        <w:t>Harvard</w:t>
      </w:r>
      <w:r w:rsidR="007E3719">
        <w:rPr>
          <w:rFonts w:ascii="Georgia" w:hAnsi="Georgia" w:cs="Arial"/>
          <w:color w:val="000000"/>
          <w:sz w:val="24"/>
          <w:szCs w:val="24"/>
        </w:rPr>
        <w:t xml:space="preserve"> </w:t>
      </w:r>
      <w:r w:rsidRPr="003E689E">
        <w:rPr>
          <w:rFonts w:ascii="Georgia" w:hAnsi="Georgia" w:cs="Arial"/>
          <w:color w:val="000000"/>
          <w:sz w:val="24"/>
          <w:szCs w:val="24"/>
          <w:lang w:val="en-US"/>
        </w:rPr>
        <w:t>Business Review (2002).</w:t>
      </w:r>
      <w:proofErr w:type="gramEnd"/>
      <w:r w:rsidRPr="003E689E">
        <w:rPr>
          <w:rFonts w:ascii="Georgia" w:hAnsi="Georgia" w:cs="Arial"/>
          <w:color w:val="000000"/>
          <w:sz w:val="24"/>
          <w:szCs w:val="24"/>
          <w:lang w:val="en-US"/>
        </w:rPr>
        <w:t xml:space="preserve"> </w:t>
      </w:r>
      <w:proofErr w:type="gramStart"/>
      <w:r w:rsidRPr="003E689E">
        <w:rPr>
          <w:rFonts w:ascii="Georgia" w:hAnsi="Georgia" w:cs="Arial"/>
          <w:color w:val="000000"/>
          <w:sz w:val="24"/>
          <w:szCs w:val="24"/>
          <w:lang w:val="en-US"/>
        </w:rPr>
        <w:t>Prahalad, C. K. y Stuart Hart.</w:t>
      </w:r>
      <w:proofErr w:type="gramEnd"/>
      <w:r w:rsidRPr="003E689E">
        <w:rPr>
          <w:rFonts w:ascii="Georgia" w:hAnsi="Georgia" w:cs="Arial"/>
          <w:color w:val="000000"/>
          <w:sz w:val="24"/>
          <w:szCs w:val="24"/>
          <w:lang w:val="en-US"/>
        </w:rPr>
        <w:t xml:space="preserve"> “The Fortune at the Bottom of the Pyramid.” </w:t>
      </w:r>
      <w:r w:rsidRPr="003E689E">
        <w:rPr>
          <w:rFonts w:ascii="Georgia" w:hAnsi="Georgia" w:cs="Arial"/>
          <w:color w:val="000000"/>
          <w:sz w:val="24"/>
          <w:szCs w:val="24"/>
        </w:rPr>
        <w:t xml:space="preserve">Strategy+ Business 1, nro. 26 (2002). </w:t>
      </w:r>
    </w:p>
    <w:p w14:paraId="27DF9DC0"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rPr>
        <w:t xml:space="preserve">Reficco, Ezequiel y Patricia Márquez. </w:t>
      </w:r>
      <w:r w:rsidRPr="003E689E">
        <w:rPr>
          <w:rFonts w:ascii="Georgia" w:hAnsi="Georgia" w:cs="Arial"/>
          <w:color w:val="000000"/>
          <w:sz w:val="24"/>
          <w:szCs w:val="24"/>
          <w:lang w:val="en-US"/>
        </w:rPr>
        <w:t xml:space="preserve">“Socially Inclusive Networks for Building BOP Markets.” </w:t>
      </w:r>
      <w:r w:rsidRPr="003E689E">
        <w:rPr>
          <w:rFonts w:ascii="Georgia" w:hAnsi="Georgia" w:cs="Arial"/>
          <w:color w:val="000000"/>
          <w:sz w:val="24"/>
          <w:szCs w:val="24"/>
        </w:rPr>
        <w:t>Documento de trabajo, School of Business Administration, Universidad de San Diego, octubre de 2007.</w:t>
      </w:r>
    </w:p>
    <w:p w14:paraId="2BBFA3EA" w14:textId="5FEA2896"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 “Inclusive Networks for Building BOP Markets.” </w:t>
      </w:r>
      <w:r w:rsidRPr="003E689E">
        <w:rPr>
          <w:rFonts w:ascii="Georgia" w:hAnsi="Georgia" w:cs="Arial"/>
          <w:color w:val="000000"/>
          <w:sz w:val="24"/>
          <w:szCs w:val="24"/>
        </w:rPr>
        <w:t>Business &amp; Society (de próxima publicación).</w:t>
      </w:r>
    </w:p>
    <w:p w14:paraId="06763DAB" w14:textId="663BC8D2"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Rufín, Carlos. “The Role of Government: LIS Market Initiatives and the Public Sector.” </w:t>
      </w:r>
      <w:r w:rsidRPr="003E689E">
        <w:rPr>
          <w:rFonts w:ascii="Georgia" w:hAnsi="Georgia" w:cs="Arial"/>
          <w:color w:val="000000"/>
          <w:sz w:val="24"/>
          <w:szCs w:val="24"/>
        </w:rPr>
        <w:t>ReVista: Harvard Review of Latin America (otoño de 2006): 45–46.</w:t>
      </w:r>
    </w:p>
    <w:p w14:paraId="689B7EE6" w14:textId="106AB8BD" w:rsidR="00B70620" w:rsidRPr="007E3719"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rPr>
        <w:t xml:space="preserve">Rufín, Carlos y Luis Fernando Arboleda. </w:t>
      </w:r>
      <w:r w:rsidRPr="003E689E">
        <w:rPr>
          <w:rFonts w:ascii="Georgia" w:hAnsi="Georgia" w:cs="Arial"/>
          <w:color w:val="000000"/>
          <w:sz w:val="24"/>
          <w:szCs w:val="24"/>
          <w:lang w:val="en-US"/>
        </w:rPr>
        <w:t xml:space="preserve">“Utilities and the Poor: A Story from Colombia.” En Business Solutions for the Global Poor: Creating Economic and Social Value, editado por Kasturi Rangan, John Quelch, Gustavo Herrero y Brooke Barton. </w:t>
      </w:r>
      <w:r w:rsidRPr="003E689E">
        <w:rPr>
          <w:rFonts w:ascii="Georgia" w:hAnsi="Georgia" w:cs="Arial"/>
          <w:color w:val="000000"/>
          <w:sz w:val="24"/>
          <w:szCs w:val="24"/>
        </w:rPr>
        <w:t>San Francisco, CA: Jossey-Bass, 2007.</w:t>
      </w:r>
    </w:p>
    <w:p w14:paraId="30603032"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rPr>
        <w:t xml:space="preserve">Rufín, Carlos y Miguel Rivera-Santos. </w:t>
      </w:r>
      <w:r w:rsidRPr="003E689E">
        <w:rPr>
          <w:rFonts w:ascii="Georgia" w:hAnsi="Georgia" w:cs="Arial"/>
          <w:color w:val="000000"/>
          <w:sz w:val="24"/>
          <w:szCs w:val="24"/>
          <w:lang w:val="en-US"/>
        </w:rPr>
        <w:t xml:space="preserve">“Global Village vs. Small Town: Understanding Networks at the Base of the Pyramid.” </w:t>
      </w:r>
      <w:proofErr w:type="gramStart"/>
      <w:r w:rsidRPr="003E689E">
        <w:rPr>
          <w:rFonts w:ascii="Georgia" w:hAnsi="Georgia" w:cs="Arial"/>
          <w:color w:val="000000"/>
          <w:sz w:val="24"/>
          <w:szCs w:val="24"/>
          <w:lang w:val="en-US"/>
        </w:rPr>
        <w:t>Documento inédito, 2008.</w:t>
      </w:r>
      <w:proofErr w:type="gramEnd"/>
    </w:p>
    <w:p w14:paraId="44F265FC" w14:textId="0E54F1D6"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Salamon, Lester M. “The Rise of the Nonprofit Sector.” </w:t>
      </w:r>
      <w:proofErr w:type="gramStart"/>
      <w:r w:rsidRPr="003E689E">
        <w:rPr>
          <w:rFonts w:ascii="Georgia" w:hAnsi="Georgia" w:cs="Arial"/>
          <w:color w:val="000000"/>
          <w:sz w:val="24"/>
          <w:szCs w:val="24"/>
          <w:lang w:val="en-US"/>
        </w:rPr>
        <w:t>Foreign Affairs 73, nro.</w:t>
      </w:r>
      <w:proofErr w:type="gramEnd"/>
      <w:r w:rsidRPr="003E689E">
        <w:rPr>
          <w:rFonts w:ascii="Georgia" w:hAnsi="Georgia" w:cs="Arial"/>
          <w:color w:val="000000"/>
          <w:sz w:val="24"/>
          <w:szCs w:val="24"/>
          <w:lang w:val="en-US"/>
        </w:rPr>
        <w:t xml:space="preserve"> </w:t>
      </w:r>
      <w:proofErr w:type="gramStart"/>
      <w:r w:rsidRPr="003E689E">
        <w:rPr>
          <w:rFonts w:ascii="Georgia" w:hAnsi="Georgia" w:cs="Arial"/>
          <w:color w:val="000000"/>
          <w:sz w:val="24"/>
          <w:szCs w:val="24"/>
          <w:lang w:val="en-US"/>
        </w:rPr>
        <w:t>4 (1994): 109–22.</w:t>
      </w:r>
      <w:proofErr w:type="gramEnd"/>
    </w:p>
    <w:p w14:paraId="5F5E4B8A" w14:textId="68935937" w:rsidR="00B70620" w:rsidRPr="00EF4431"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Scherer, A. G. y G. Palazzo.“Toward a Political Conception of Corporate Responsibility: Business and Society Seen from a Habermasian Perspective.” </w:t>
      </w:r>
      <w:proofErr w:type="gramStart"/>
      <w:r w:rsidRPr="003E689E">
        <w:rPr>
          <w:rFonts w:ascii="Georgia" w:hAnsi="Georgia" w:cs="Arial"/>
          <w:color w:val="000000"/>
          <w:sz w:val="24"/>
          <w:szCs w:val="24"/>
          <w:lang w:val="en-US"/>
        </w:rPr>
        <w:lastRenderedPageBreak/>
        <w:t>Academy of Management Review 32, nro.</w:t>
      </w:r>
      <w:proofErr w:type="gramEnd"/>
      <w:r w:rsidRPr="003E689E">
        <w:rPr>
          <w:rFonts w:ascii="Georgia" w:hAnsi="Georgia" w:cs="Arial"/>
          <w:color w:val="000000"/>
          <w:sz w:val="24"/>
          <w:szCs w:val="24"/>
          <w:lang w:val="en-US"/>
        </w:rPr>
        <w:t xml:space="preserve"> </w:t>
      </w:r>
      <w:proofErr w:type="gramStart"/>
      <w:r w:rsidRPr="003E689E">
        <w:rPr>
          <w:rFonts w:ascii="Georgia" w:hAnsi="Georgia" w:cs="Arial"/>
          <w:color w:val="000000"/>
          <w:sz w:val="24"/>
          <w:szCs w:val="24"/>
          <w:lang w:val="en-US"/>
        </w:rPr>
        <w:t>4 (2007): 1096–120.</w:t>
      </w:r>
      <w:proofErr w:type="gramEnd"/>
    </w:p>
    <w:p w14:paraId="65D1B91B" w14:textId="77D28A30"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rPr>
        <w:t xml:space="preserve">SEKN (Red de Conocimientos sobre Emprendimientos Sociales). Gestión efectiva de emprendimientos sociales: Lecciones extraídas de empresas y organizaciones de la sociedad civil en Iberoamérica. </w:t>
      </w:r>
      <w:r w:rsidRPr="003E689E">
        <w:rPr>
          <w:rFonts w:ascii="Georgia" w:hAnsi="Georgia" w:cs="Arial"/>
          <w:color w:val="000000"/>
          <w:sz w:val="24"/>
          <w:szCs w:val="24"/>
          <w:lang w:val="en-US"/>
        </w:rPr>
        <w:t>Cambridge, MA: Harvard University Press con el David Rockefeller Center for Latin American Studies, 2006.</w:t>
      </w:r>
    </w:p>
    <w:p w14:paraId="39B73BEB"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 xml:space="preserve">Sen, Amartya Kumar. </w:t>
      </w:r>
      <w:proofErr w:type="gramStart"/>
      <w:r w:rsidRPr="003E689E">
        <w:rPr>
          <w:rFonts w:ascii="Georgia" w:hAnsi="Georgia" w:cs="Arial"/>
          <w:color w:val="000000"/>
          <w:sz w:val="24"/>
          <w:szCs w:val="24"/>
          <w:lang w:val="en-US"/>
        </w:rPr>
        <w:t>Development as Freedom.</w:t>
      </w:r>
      <w:proofErr w:type="gramEnd"/>
      <w:r w:rsidRPr="003E689E">
        <w:rPr>
          <w:rFonts w:ascii="Georgia" w:hAnsi="Georgia" w:cs="Arial"/>
          <w:color w:val="000000"/>
          <w:sz w:val="24"/>
          <w:szCs w:val="24"/>
          <w:lang w:val="en-US"/>
        </w:rPr>
        <w:t xml:space="preserve"> Nueva York: Oxford University Press, 1999.</w:t>
      </w:r>
    </w:p>
    <w:p w14:paraId="373EAEAA" w14:textId="630C5343"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Sharma, Sanjay y Frances Westley.</w:t>
      </w:r>
      <w:proofErr w:type="gramEnd"/>
      <w:r w:rsidRPr="003E689E">
        <w:rPr>
          <w:rFonts w:ascii="Georgia" w:hAnsi="Georgia" w:cs="Arial"/>
          <w:color w:val="000000"/>
          <w:sz w:val="24"/>
          <w:szCs w:val="24"/>
          <w:lang w:val="en-US"/>
        </w:rPr>
        <w:t xml:space="preserve"> “Strategic Bridging: A Role for the Multinational Corporation in Third World Development.” </w:t>
      </w:r>
      <w:proofErr w:type="gramStart"/>
      <w:r w:rsidRPr="003E689E">
        <w:rPr>
          <w:rFonts w:ascii="Georgia" w:hAnsi="Georgia" w:cs="Arial"/>
          <w:color w:val="000000"/>
          <w:sz w:val="24"/>
          <w:szCs w:val="24"/>
          <w:lang w:val="en-US"/>
        </w:rPr>
        <w:t>Journal of Applied Behavioral Sciences 30, nro.</w:t>
      </w:r>
      <w:proofErr w:type="gramEnd"/>
      <w:r w:rsidRPr="003E689E">
        <w:rPr>
          <w:rFonts w:ascii="Georgia" w:hAnsi="Georgia" w:cs="Arial"/>
          <w:color w:val="000000"/>
          <w:sz w:val="24"/>
          <w:szCs w:val="24"/>
          <w:lang w:val="en-US"/>
        </w:rPr>
        <w:t xml:space="preserve"> </w:t>
      </w:r>
      <w:proofErr w:type="gramStart"/>
      <w:r w:rsidRPr="003E689E">
        <w:rPr>
          <w:rFonts w:ascii="Georgia" w:hAnsi="Georgia" w:cs="Arial"/>
          <w:color w:val="000000"/>
          <w:sz w:val="24"/>
          <w:szCs w:val="24"/>
          <w:lang w:val="en-US"/>
        </w:rPr>
        <w:t>4 (1994): 458–76.</w:t>
      </w:r>
      <w:proofErr w:type="gramEnd"/>
    </w:p>
    <w:p w14:paraId="7ABF8ADE"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Simanis, Erik y Stuart Hart.</w:t>
      </w:r>
      <w:proofErr w:type="gramEnd"/>
      <w:r w:rsidRPr="003E689E">
        <w:rPr>
          <w:rFonts w:ascii="Georgia" w:hAnsi="Georgia" w:cs="Arial"/>
          <w:color w:val="000000"/>
          <w:sz w:val="24"/>
          <w:szCs w:val="24"/>
          <w:lang w:val="en-US"/>
        </w:rPr>
        <w:t xml:space="preserve"> “The Base of the Pyramid Protocol: Toward Next Generation BOP Strategy” (2008), http://www.johnson.cornell.edu/sge/docs/ BoP_Protocol_2nd_ed.pdf.</w:t>
      </w:r>
    </w:p>
    <w:p w14:paraId="17A19339" w14:textId="6AE32D0B"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 “Beyond Selling to the Poor: Building Business Intimacy through Embedded Innovation.” </w:t>
      </w:r>
      <w:r w:rsidRPr="003E689E">
        <w:rPr>
          <w:rFonts w:ascii="Georgia" w:hAnsi="Georgia" w:cs="Arial"/>
          <w:color w:val="000000"/>
          <w:sz w:val="24"/>
          <w:szCs w:val="24"/>
        </w:rPr>
        <w:t>Ithaca: documento de trabajo, Universidad de Cornell, 2008.</w:t>
      </w:r>
    </w:p>
    <w:p w14:paraId="1DA4EAC6" w14:textId="2843FAEE" w:rsidR="00B70620" w:rsidRPr="00EF4431"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Simanis, Erik, Stuart Hart, Gordon Enk, Duncan Duke, et al. “Strategic Initiatives at the Base of the Pyramid: A Protocol for Mutual Value Creation.” </w:t>
      </w:r>
      <w:proofErr w:type="gramStart"/>
      <w:r w:rsidRPr="003E689E">
        <w:rPr>
          <w:rFonts w:ascii="Georgia" w:hAnsi="Georgia" w:cs="Arial"/>
          <w:color w:val="000000"/>
          <w:sz w:val="24"/>
          <w:szCs w:val="24"/>
          <w:lang w:val="en-US"/>
        </w:rPr>
        <w:t>Base of the Pyramid Protocol Workshop Group, Wingspread Conference Center.</w:t>
      </w:r>
      <w:proofErr w:type="gramEnd"/>
      <w:r w:rsidRPr="003E689E">
        <w:rPr>
          <w:rFonts w:ascii="Georgia" w:hAnsi="Georgia" w:cs="Arial"/>
          <w:color w:val="000000"/>
          <w:sz w:val="24"/>
          <w:szCs w:val="24"/>
          <w:lang w:val="en-US"/>
        </w:rPr>
        <w:t xml:space="preserve"> </w:t>
      </w:r>
      <w:r w:rsidRPr="003E689E">
        <w:rPr>
          <w:rFonts w:ascii="Georgia" w:hAnsi="Georgia" w:cs="Arial"/>
          <w:color w:val="000000"/>
          <w:sz w:val="24"/>
          <w:szCs w:val="24"/>
        </w:rPr>
        <w:t>Racine, WI, 2005.</w:t>
      </w:r>
    </w:p>
    <w:p w14:paraId="63D2622E" w14:textId="52FE40B8"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SNV. “A Firm-Level Approach to Majority Market Business: Private Sector Mapping (PSM) Project Final Report.” </w:t>
      </w:r>
      <w:r w:rsidRPr="003E689E">
        <w:rPr>
          <w:rFonts w:ascii="Georgia" w:hAnsi="Georgia" w:cs="Arial"/>
          <w:color w:val="000000"/>
          <w:sz w:val="24"/>
          <w:szCs w:val="24"/>
        </w:rPr>
        <w:t>Washington, DC: SNV (Organización de desarrollo internacional de los Países Bajos) y Banco Interamericano de Desarrollo, 2008.</w:t>
      </w:r>
    </w:p>
    <w:p w14:paraId="330A685E" w14:textId="0FDA0EC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SNV &amp; World Business Council for Sustainable Development.</w:t>
      </w:r>
      <w:proofErr w:type="gramEnd"/>
      <w:r w:rsidRPr="003E689E">
        <w:rPr>
          <w:rFonts w:ascii="Georgia" w:hAnsi="Georgia" w:cs="Arial"/>
          <w:color w:val="000000"/>
          <w:sz w:val="24"/>
          <w:szCs w:val="24"/>
          <w:lang w:val="en-US"/>
        </w:rPr>
        <w:t xml:space="preserve"> “Inclusive Business: Profitable Business for Successful Development” (2008), http</w:t>
      </w:r>
      <w:r w:rsidR="007E3719">
        <w:rPr>
          <w:rFonts w:ascii="Georgia" w:hAnsi="Georgia" w:cs="Arial"/>
          <w:color w:val="000000"/>
          <w:sz w:val="24"/>
          <w:szCs w:val="24"/>
          <w:lang w:val="en-US"/>
        </w:rPr>
        <w:t>://wbcsd.typepad.</w:t>
      </w:r>
      <w:r w:rsidRPr="003E689E">
        <w:rPr>
          <w:rFonts w:ascii="Georgia" w:hAnsi="Georgia" w:cs="Arial"/>
          <w:color w:val="000000"/>
          <w:sz w:val="24"/>
          <w:szCs w:val="24"/>
          <w:lang w:val="en-US"/>
        </w:rPr>
        <w:t>com/wbcsdsnv/wbcsd_snv_alliance_brochure_march_08_web.pdf.</w:t>
      </w:r>
    </w:p>
    <w:p w14:paraId="31529D64" w14:textId="77777777"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lastRenderedPageBreak/>
        <w:t xml:space="preserve">Sullivan, Nicholas. You Can Hear Me Now: How Microloans and Cell Phones Are Connecting the World’s Poor to the Global Economy. </w:t>
      </w:r>
      <w:r w:rsidRPr="003E689E">
        <w:rPr>
          <w:rFonts w:ascii="Georgia" w:hAnsi="Georgia" w:cs="Arial"/>
          <w:color w:val="000000"/>
          <w:sz w:val="24"/>
          <w:szCs w:val="24"/>
        </w:rPr>
        <w:t>San Francisco, CA: Jossey Bass, 2007.</w:t>
      </w:r>
    </w:p>
    <w:p w14:paraId="6CBAF455" w14:textId="2AC38B21"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rPr>
        <w:t xml:space="preserve">Tencati, Antonio y Laszlo Zsolnai. </w:t>
      </w:r>
      <w:r w:rsidRPr="003E689E">
        <w:rPr>
          <w:rFonts w:ascii="Georgia" w:hAnsi="Georgia" w:cs="Arial"/>
          <w:color w:val="000000"/>
          <w:sz w:val="24"/>
          <w:szCs w:val="24"/>
          <w:lang w:val="en-US"/>
        </w:rPr>
        <w:t xml:space="preserve">“The Collaborative Enterprise.” </w:t>
      </w:r>
      <w:proofErr w:type="gramStart"/>
      <w:r w:rsidRPr="003E689E">
        <w:rPr>
          <w:rFonts w:ascii="Georgia" w:hAnsi="Georgia" w:cs="Arial"/>
          <w:color w:val="000000"/>
          <w:sz w:val="24"/>
          <w:szCs w:val="24"/>
          <w:lang w:val="en-US"/>
        </w:rPr>
        <w:t>Journal of Business Ethics (2009): 367–76.</w:t>
      </w:r>
      <w:proofErr w:type="gramEnd"/>
    </w:p>
    <w:p w14:paraId="2B382E50" w14:textId="2C414B15"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lang w:val="en-US"/>
        </w:rPr>
        <w:t xml:space="preserve">The Economist. “The End of Cheap Food.” </w:t>
      </w:r>
      <w:r w:rsidRPr="003E689E">
        <w:rPr>
          <w:rFonts w:ascii="Georgia" w:hAnsi="Georgia" w:cs="Arial"/>
          <w:color w:val="000000"/>
          <w:sz w:val="24"/>
          <w:szCs w:val="24"/>
        </w:rPr>
        <w:t>The Economist, 8 de diciembre de 2007. Todorov, Tzvetan. La vida en común. Ensayo de antropología general. Madrid:</w:t>
      </w:r>
      <w:r w:rsidR="007E3719">
        <w:rPr>
          <w:rFonts w:ascii="Georgia" w:hAnsi="Georgia" w:cs="Arial"/>
          <w:color w:val="000000"/>
          <w:sz w:val="24"/>
          <w:szCs w:val="24"/>
        </w:rPr>
        <w:t xml:space="preserve"> </w:t>
      </w:r>
      <w:r w:rsidRPr="003E689E">
        <w:rPr>
          <w:rFonts w:ascii="Georgia" w:hAnsi="Georgia" w:cs="Arial"/>
          <w:color w:val="000000"/>
          <w:sz w:val="24"/>
          <w:szCs w:val="24"/>
        </w:rPr>
        <w:t>Taurus, 1995.</w:t>
      </w:r>
    </w:p>
    <w:p w14:paraId="5C8FDCA9" w14:textId="35ED523D"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rPr>
      </w:pPr>
      <w:r w:rsidRPr="003E689E">
        <w:rPr>
          <w:rFonts w:ascii="Georgia" w:hAnsi="Georgia" w:cs="Arial"/>
          <w:color w:val="000000"/>
          <w:sz w:val="24"/>
          <w:szCs w:val="24"/>
        </w:rPr>
        <w:t>Trujillo Cárdenas, Diana y Roberto Gutiérrez. “The Base of the Pyramid, Citizenship above Consumerism: Colombia’s Colcerámica.” ReVista: Harvard Review of Latin America (otoño de 2006).</w:t>
      </w:r>
    </w:p>
    <w:p w14:paraId="29F91959" w14:textId="1A7907D3"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USAID. “Innovative Approaches to Slum Electrification.” Washington, DC: Bureau for Economic Growth, Agriculture and Trade, diciembre de 2004.</w:t>
      </w:r>
    </w:p>
    <w:p w14:paraId="58508B35" w14:textId="302DD8C9" w:rsidR="00B70620" w:rsidRPr="003E689E" w:rsidRDefault="00B70620" w:rsidP="00B70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r w:rsidRPr="003E689E">
        <w:rPr>
          <w:rFonts w:ascii="Georgia" w:hAnsi="Georgia" w:cs="Arial"/>
          <w:color w:val="000000"/>
          <w:sz w:val="24"/>
          <w:szCs w:val="24"/>
          <w:lang w:val="en-US"/>
        </w:rPr>
        <w:t>Weiser, John, Michele Kahane, Steve Rochlin y Jessica Landis. Untapped: Creating Value in Underserved Markets. San Francisco, CA: Berrett-Koehler Publishers, 2006.</w:t>
      </w:r>
    </w:p>
    <w:p w14:paraId="11A85893" w14:textId="0803996C" w:rsidR="00AB767D" w:rsidRPr="007E3719" w:rsidRDefault="00B70620" w:rsidP="007E37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Georgia" w:hAnsi="Georgia" w:cs="Arial"/>
          <w:color w:val="000000"/>
          <w:sz w:val="24"/>
          <w:szCs w:val="24"/>
          <w:lang w:val="en-US"/>
        </w:rPr>
      </w:pPr>
      <w:proofErr w:type="gramStart"/>
      <w:r w:rsidRPr="003E689E">
        <w:rPr>
          <w:rFonts w:ascii="Georgia" w:hAnsi="Georgia" w:cs="Arial"/>
          <w:color w:val="000000"/>
          <w:sz w:val="24"/>
          <w:szCs w:val="24"/>
          <w:lang w:val="en-US"/>
        </w:rPr>
        <w:t>Westley, Frances y Harrie Vredenburg.</w:t>
      </w:r>
      <w:proofErr w:type="gramEnd"/>
      <w:r w:rsidRPr="003E689E">
        <w:rPr>
          <w:rFonts w:ascii="Georgia" w:hAnsi="Georgia" w:cs="Arial"/>
          <w:color w:val="000000"/>
          <w:sz w:val="24"/>
          <w:szCs w:val="24"/>
          <w:lang w:val="en-US"/>
        </w:rPr>
        <w:t xml:space="preserve"> “Strategic Bridging: The Collaboration between Environmentalists and Business in the Marketing of Green Products.” </w:t>
      </w:r>
      <w:proofErr w:type="gramStart"/>
      <w:r w:rsidRPr="003E689E">
        <w:rPr>
          <w:rFonts w:ascii="Georgia" w:hAnsi="Georgia" w:cs="Arial"/>
          <w:color w:val="000000"/>
          <w:sz w:val="24"/>
          <w:szCs w:val="24"/>
          <w:lang w:val="en-US"/>
        </w:rPr>
        <w:t>Journal of Applied Behavioral Sciences 27, nro.</w:t>
      </w:r>
      <w:proofErr w:type="gramEnd"/>
      <w:r w:rsidRPr="003E689E">
        <w:rPr>
          <w:rFonts w:ascii="Georgia" w:hAnsi="Georgia" w:cs="Arial"/>
          <w:color w:val="000000"/>
          <w:sz w:val="24"/>
          <w:szCs w:val="24"/>
          <w:lang w:val="en-US"/>
        </w:rPr>
        <w:t xml:space="preserve"> </w:t>
      </w:r>
      <w:proofErr w:type="gramStart"/>
      <w:r w:rsidRPr="003E689E">
        <w:rPr>
          <w:rFonts w:ascii="Georgia" w:hAnsi="Georgia" w:cs="Arial"/>
          <w:color w:val="000000"/>
          <w:sz w:val="24"/>
          <w:szCs w:val="24"/>
          <w:lang w:val="en-US"/>
        </w:rPr>
        <w:t>1 (1991): 65–90.</w:t>
      </w:r>
      <w:proofErr w:type="gramEnd"/>
    </w:p>
    <w:sectPr w:rsidR="00AB767D" w:rsidRPr="007E3719" w:rsidSect="00F87264">
      <w:pgSz w:w="11900"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8D7B7" w14:textId="77777777" w:rsidR="00D41FC4" w:rsidRDefault="00D41FC4">
      <w:r>
        <w:separator/>
      </w:r>
    </w:p>
  </w:endnote>
  <w:endnote w:type="continuationSeparator" w:id="0">
    <w:p w14:paraId="10085665" w14:textId="77777777" w:rsidR="00D41FC4" w:rsidRDefault="00D41FC4">
      <w:r>
        <w:continuationSeparator/>
      </w:r>
    </w:p>
  </w:endnote>
  <w:endnote w:type="continuationNotice" w:id="1">
    <w:p w14:paraId="7F8A3571" w14:textId="77777777" w:rsidR="00D41FC4" w:rsidRDefault="00D41F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8000007F" w:usb1="0000000A" w:usb2="00000000" w:usb3="00000000" w:csb0="00000007"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eelawadee">
    <w:altName w:val="Optima ExtraBlack"/>
    <w:charset w:val="00"/>
    <w:family w:val="swiss"/>
    <w:pitch w:val="variable"/>
    <w:sig w:usb0="810000AF" w:usb1="4000204B" w:usb2="00000000" w:usb3="00000000" w:csb0="00010001" w:csb1="00000000"/>
  </w:font>
  <w:font w:name="Kozuka Mincho Pro M">
    <w:altName w:val="Arial Unicode MS"/>
    <w:panose1 w:val="00000000000000000000"/>
    <w:charset w:val="80"/>
    <w:family w:val="roman"/>
    <w:notTrueType/>
    <w:pitch w:val="variable"/>
    <w:sig w:usb0="E00002FF" w:usb1="6AC7FCFF" w:usb2="00000012" w:usb3="00000000" w:csb0="00020005"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MyriadMM.565.600">
    <w:altName w:val="Times New Roman"/>
    <w:panose1 w:val="00000000000000000000"/>
    <w:charset w:val="00"/>
    <w:family w:val="roman"/>
    <w:notTrueType/>
    <w:pitch w:val="default"/>
  </w:font>
  <w:font w:name="Helvetica Neue">
    <w:panose1 w:val="0200050300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5ADA5" w14:textId="77777777" w:rsidR="00D41FC4" w:rsidRDefault="00D41FC4" w:rsidP="00E63D7E">
    <w:pPr>
      <w:pStyle w:val="Header"/>
    </w:pPr>
    <w:r>
      <w:t xml:space="preserve">                                          www.innovationforsocialchange.org</w:t>
    </w:r>
    <w:r>
      <w:tab/>
    </w:r>
    <w:r>
      <w:tab/>
    </w:r>
    <w:r>
      <w:rPr>
        <w:rStyle w:val="PageNumber"/>
      </w:rPr>
      <w:fldChar w:fldCharType="begin"/>
    </w:r>
    <w:r>
      <w:rPr>
        <w:rStyle w:val="PageNumber"/>
      </w:rPr>
      <w:instrText xml:space="preserve"> PAGE </w:instrText>
    </w:r>
    <w:r>
      <w:rPr>
        <w:rStyle w:val="PageNumber"/>
      </w:rPr>
      <w:fldChar w:fldCharType="separate"/>
    </w:r>
    <w:r w:rsidR="00E11BDA">
      <w:rPr>
        <w:rStyle w:val="PageNumber"/>
        <w:noProof/>
      </w:rPr>
      <w:t>23</w:t>
    </w:r>
    <w:r>
      <w:rPr>
        <w:rStyle w:val="PageNumber"/>
      </w:rPr>
      <w:fldChar w:fldCharType="end"/>
    </w:r>
    <w:r>
      <w:rPr>
        <w:rStyle w:val="PageNumber"/>
      </w:rPr>
      <w:t xml:space="preserve"> / </w:t>
    </w:r>
    <w:r>
      <w:rPr>
        <w:rStyle w:val="PageNumber"/>
      </w:rPr>
      <w:fldChar w:fldCharType="begin"/>
    </w:r>
    <w:r>
      <w:rPr>
        <w:rStyle w:val="PageNumber"/>
      </w:rPr>
      <w:instrText xml:space="preserve"> NUMPAGES </w:instrText>
    </w:r>
    <w:r>
      <w:rPr>
        <w:rStyle w:val="PageNumber"/>
      </w:rPr>
      <w:fldChar w:fldCharType="separate"/>
    </w:r>
    <w:r w:rsidR="00E11BDA">
      <w:rPr>
        <w:rStyle w:val="PageNumber"/>
        <w:noProof/>
      </w:rPr>
      <w:t>46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97009" w14:textId="77777777" w:rsidR="00D41FC4" w:rsidRDefault="00D41FC4">
      <w:r>
        <w:separator/>
      </w:r>
    </w:p>
  </w:footnote>
  <w:footnote w:type="continuationSeparator" w:id="0">
    <w:p w14:paraId="196A4B24" w14:textId="77777777" w:rsidR="00D41FC4" w:rsidRDefault="00D41FC4">
      <w:r>
        <w:continuationSeparator/>
      </w:r>
    </w:p>
  </w:footnote>
  <w:footnote w:type="continuationNotice" w:id="1">
    <w:p w14:paraId="061B119A" w14:textId="77777777" w:rsidR="00D41FC4" w:rsidRDefault="00D41FC4">
      <w:pPr>
        <w:spacing w:after="0" w:line="240" w:lineRule="auto"/>
      </w:pPr>
    </w:p>
  </w:footnote>
  <w:footnote w:id="2">
    <w:p w14:paraId="49EFCA7C" w14:textId="77777777" w:rsidR="00D41FC4" w:rsidRPr="00663D8E" w:rsidRDefault="00D41FC4" w:rsidP="002803D3">
      <w:pPr>
        <w:pStyle w:val="ebook-T2"/>
        <w:rPr>
          <w:rFonts w:ascii="Georgia" w:eastAsia="Calibri" w:hAnsi="Georgia" w:cs="Arial"/>
          <w:bCs w:val="0"/>
          <w:color w:val="000000"/>
          <w:sz w:val="20"/>
          <w:szCs w:val="20"/>
        </w:rPr>
      </w:pPr>
      <w:r w:rsidRPr="00663D8E">
        <w:rPr>
          <w:rStyle w:val="FootnoteReference"/>
          <w:sz w:val="20"/>
          <w:szCs w:val="20"/>
        </w:rPr>
        <w:footnoteRef/>
      </w:r>
      <w:r w:rsidRPr="00663D8E">
        <w:rPr>
          <w:sz w:val="20"/>
          <w:szCs w:val="20"/>
        </w:rPr>
        <w:t xml:space="preserve"> </w:t>
      </w:r>
      <w:proofErr w:type="gramStart"/>
      <w:r w:rsidRPr="00663D8E">
        <w:rPr>
          <w:rFonts w:ascii="Arial" w:hAnsi="Arial" w:cs="Arial"/>
          <w:color w:val="0B5519"/>
          <w:sz w:val="20"/>
          <w:szCs w:val="20"/>
          <w:lang w:val="en-US" w:eastAsia="es-ES"/>
        </w:rPr>
        <w:t>www.iei.uchile.cl</w:t>
      </w:r>
      <w:proofErr w:type="gramEnd"/>
      <w:r w:rsidRPr="00663D8E">
        <w:rPr>
          <w:rFonts w:ascii="Arial" w:hAnsi="Arial" w:cs="Arial"/>
          <w:color w:val="0B5519"/>
          <w:sz w:val="20"/>
          <w:szCs w:val="20"/>
          <w:lang w:val="en-US" w:eastAsia="es-ES"/>
        </w:rPr>
        <w:t>/.../estudio-de-caso-completo_84935_0_5938.pdf</w:t>
      </w:r>
    </w:p>
    <w:p w14:paraId="3C5FD23C" w14:textId="0527262A" w:rsidR="00D41FC4" w:rsidRPr="002803D3" w:rsidRDefault="00D41FC4">
      <w:pPr>
        <w:pStyle w:val="FootnoteText"/>
        <w:rPr>
          <w:lang w:val="es-ES_tradnl"/>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40"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850"/>
      <w:gridCol w:w="7585"/>
    </w:tblGrid>
    <w:tr w:rsidR="00D41FC4" w14:paraId="5DBC8FA9" w14:textId="77777777" w:rsidTr="00951083">
      <w:trPr>
        <w:trHeight w:val="255"/>
      </w:trPr>
      <w:tc>
        <w:tcPr>
          <w:tcW w:w="504" w:type="pct"/>
          <w:shd w:val="clear" w:color="auto" w:fill="548DD4" w:themeFill="text2" w:themeFillTint="99"/>
        </w:tcPr>
        <w:p w14:paraId="1F067480" w14:textId="77777777" w:rsidR="00D41FC4" w:rsidRDefault="00D41FC4" w:rsidP="00951083">
          <w:pPr>
            <w:pStyle w:val="Header"/>
            <w:jc w:val="center"/>
            <w:rPr>
              <w:color w:val="FFFFFF" w:themeColor="background1"/>
            </w:rPr>
          </w:pPr>
          <w:r w:rsidRPr="00124693">
            <w:rPr>
              <w:b/>
              <w:color w:val="FFFFFF" w:themeColor="background1"/>
              <w:sz w:val="24"/>
              <w:szCs w:val="24"/>
            </w:rPr>
            <w:fldChar w:fldCharType="begin"/>
          </w:r>
          <w:r w:rsidRPr="00124693">
            <w:rPr>
              <w:b/>
              <w:color w:val="FFFFFF" w:themeColor="background1"/>
              <w:sz w:val="24"/>
              <w:szCs w:val="24"/>
            </w:rPr>
            <w:instrText xml:space="preserve"> PAGE   \* MERGEFORMAT </w:instrText>
          </w:r>
          <w:r w:rsidRPr="00124693">
            <w:rPr>
              <w:b/>
              <w:color w:val="FFFFFF" w:themeColor="background1"/>
              <w:sz w:val="24"/>
              <w:szCs w:val="24"/>
            </w:rPr>
            <w:fldChar w:fldCharType="separate"/>
          </w:r>
          <w:r w:rsidR="00E11BDA">
            <w:rPr>
              <w:b/>
              <w:noProof/>
              <w:color w:val="FFFFFF" w:themeColor="background1"/>
              <w:sz w:val="24"/>
              <w:szCs w:val="24"/>
            </w:rPr>
            <w:t>24</w:t>
          </w:r>
          <w:r w:rsidRPr="00124693">
            <w:rPr>
              <w:b/>
              <w:color w:val="FFFFFF" w:themeColor="background1"/>
              <w:sz w:val="24"/>
              <w:szCs w:val="24"/>
            </w:rPr>
            <w:fldChar w:fldCharType="end"/>
          </w:r>
        </w:p>
      </w:tc>
      <w:tc>
        <w:tcPr>
          <w:tcW w:w="4496" w:type="pct"/>
          <w:shd w:val="clear" w:color="auto" w:fill="95B3D7" w:themeFill="accent1" w:themeFillTint="99"/>
          <w:vAlign w:val="center"/>
        </w:tcPr>
        <w:p w14:paraId="55B00BAB" w14:textId="77777777" w:rsidR="00D41FC4" w:rsidRPr="003E4799" w:rsidRDefault="00D41FC4" w:rsidP="00951083">
          <w:pPr>
            <w:pStyle w:val="Header"/>
            <w:rPr>
              <w:b/>
              <w:caps/>
              <w:color w:val="FFFFFF" w:themeColor="background1"/>
            </w:rPr>
          </w:pPr>
          <w:r>
            <w:rPr>
              <w:b/>
              <w:color w:val="FFFFFF" w:themeColor="background1"/>
              <w:sz w:val="24"/>
              <w:szCs w:val="24"/>
            </w:rPr>
            <w:t>Guadalupe de la Mata</w:t>
          </w:r>
        </w:p>
      </w:tc>
    </w:tr>
  </w:tbl>
  <w:p w14:paraId="25E03FDB" w14:textId="77777777" w:rsidR="00D41FC4" w:rsidRDefault="00D41FC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77" w:type="pct"/>
      <w:tblInd w:w="108" w:type="dxa"/>
      <w:tblBorders>
        <w:top w:val="thinThickLargeGap" w:sz="24" w:space="0" w:color="548DD4" w:themeColor="text2" w:themeTint="99"/>
        <w:left w:val="thinThickLargeGap" w:sz="24" w:space="0" w:color="548DD4" w:themeColor="text2" w:themeTint="99"/>
        <w:bottom w:val="thickThinLargeGap" w:sz="24" w:space="0" w:color="548DD4" w:themeColor="text2" w:themeTint="99"/>
        <w:right w:val="thickThinLargeGap" w:sz="24" w:space="0" w:color="548DD4" w:themeColor="text2" w:themeTint="99"/>
      </w:tblBorders>
      <w:tblLook w:val="04A0" w:firstRow="1" w:lastRow="0" w:firstColumn="1" w:lastColumn="0" w:noHBand="0" w:noVBand="1"/>
    </w:tblPr>
    <w:tblGrid>
      <w:gridCol w:w="7649"/>
      <w:gridCol w:w="676"/>
    </w:tblGrid>
    <w:tr w:rsidR="00D41FC4" w14:paraId="6BE9C965" w14:textId="77777777" w:rsidTr="00951083">
      <w:trPr>
        <w:trHeight w:val="255"/>
      </w:trPr>
      <w:tc>
        <w:tcPr>
          <w:tcW w:w="4594" w:type="pct"/>
          <w:shd w:val="clear" w:color="auto" w:fill="95B3D7" w:themeFill="accent1" w:themeFillTint="99"/>
          <w:vAlign w:val="center"/>
        </w:tcPr>
        <w:p w14:paraId="0B70B5D9" w14:textId="28B0506C" w:rsidR="00D41FC4" w:rsidRPr="00951083" w:rsidRDefault="00D41FC4" w:rsidP="00F87264">
          <w:pPr>
            <w:pStyle w:val="Header"/>
            <w:jc w:val="center"/>
            <w:rPr>
              <w:b/>
              <w:caps/>
              <w:color w:val="800000"/>
              <w:sz w:val="24"/>
              <w:szCs w:val="24"/>
            </w:rPr>
          </w:pPr>
          <w:r>
            <w:rPr>
              <w:b/>
              <w:color w:val="800000"/>
              <w:sz w:val="24"/>
              <w:szCs w:val="24"/>
            </w:rPr>
            <w:t>Modelos de negocio Innovadores con la Base de la Pirámide</w:t>
          </w:r>
        </w:p>
      </w:tc>
      <w:tc>
        <w:tcPr>
          <w:tcW w:w="406" w:type="pct"/>
          <w:tcBorders>
            <w:top w:val="thinThickLargeGap" w:sz="24" w:space="0" w:color="548DD4" w:themeColor="text2" w:themeTint="99"/>
            <w:bottom w:val="thickThinLargeGap" w:sz="24" w:space="0" w:color="548DD4" w:themeColor="text2" w:themeTint="99"/>
          </w:tcBorders>
          <w:shd w:val="clear" w:color="auto" w:fill="548DD4" w:themeFill="text2" w:themeFillTint="99"/>
        </w:tcPr>
        <w:p w14:paraId="7DFCF256" w14:textId="77777777" w:rsidR="00D41FC4" w:rsidRDefault="00D41FC4" w:rsidP="00951083">
          <w:pPr>
            <w:pStyle w:val="Header"/>
            <w:rPr>
              <w:caps/>
              <w:color w:val="FFFFFF" w:themeColor="background1"/>
            </w:rPr>
          </w:pPr>
          <w:r w:rsidRPr="00124693">
            <w:rPr>
              <w:b/>
              <w:color w:val="FFFFFF" w:themeColor="background1"/>
              <w:sz w:val="24"/>
              <w:szCs w:val="24"/>
            </w:rPr>
            <w:fldChar w:fldCharType="begin"/>
          </w:r>
          <w:r w:rsidRPr="00124693">
            <w:rPr>
              <w:b/>
              <w:color w:val="FFFFFF" w:themeColor="background1"/>
              <w:sz w:val="24"/>
              <w:szCs w:val="24"/>
            </w:rPr>
            <w:instrText xml:space="preserve"> PAGE   \* MERGEFORMAT </w:instrText>
          </w:r>
          <w:r w:rsidRPr="00124693">
            <w:rPr>
              <w:b/>
              <w:color w:val="FFFFFF" w:themeColor="background1"/>
              <w:sz w:val="24"/>
              <w:szCs w:val="24"/>
            </w:rPr>
            <w:fldChar w:fldCharType="separate"/>
          </w:r>
          <w:r w:rsidR="00E11BDA">
            <w:rPr>
              <w:b/>
              <w:noProof/>
              <w:color w:val="FFFFFF" w:themeColor="background1"/>
              <w:sz w:val="24"/>
              <w:szCs w:val="24"/>
            </w:rPr>
            <w:t>23</w:t>
          </w:r>
          <w:r w:rsidRPr="00124693">
            <w:rPr>
              <w:b/>
              <w:color w:val="FFFFFF" w:themeColor="background1"/>
              <w:sz w:val="24"/>
              <w:szCs w:val="24"/>
            </w:rPr>
            <w:fldChar w:fldCharType="end"/>
          </w:r>
        </w:p>
      </w:tc>
    </w:tr>
  </w:tbl>
  <w:p w14:paraId="02E02726" w14:textId="77777777" w:rsidR="00D41FC4" w:rsidRPr="00951083" w:rsidRDefault="00D41FC4">
    <w:pPr>
      <w:pStyle w:val="Header"/>
      <w:rPr>
        <w:color w:val="8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8B34C6"/>
    <w:multiLevelType w:val="hybridMultilevel"/>
    <w:tmpl w:val="8D00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80F05"/>
    <w:multiLevelType w:val="hybridMultilevel"/>
    <w:tmpl w:val="B046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D599D"/>
    <w:multiLevelType w:val="hybridMultilevel"/>
    <w:tmpl w:val="DD26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A0435"/>
    <w:multiLevelType w:val="hybridMultilevel"/>
    <w:tmpl w:val="06AEA7DC"/>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E6033E5"/>
    <w:multiLevelType w:val="hybridMultilevel"/>
    <w:tmpl w:val="18B4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33245"/>
    <w:multiLevelType w:val="hybridMultilevel"/>
    <w:tmpl w:val="6BE0E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F30D67"/>
    <w:multiLevelType w:val="hybridMultilevel"/>
    <w:tmpl w:val="AEF2E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CE5DBC"/>
    <w:multiLevelType w:val="hybridMultilevel"/>
    <w:tmpl w:val="EF2269B2"/>
    <w:lvl w:ilvl="0" w:tplc="4822D0C6">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EB37F4"/>
    <w:multiLevelType w:val="hybridMultilevel"/>
    <w:tmpl w:val="9C6A0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3DD27EE"/>
    <w:multiLevelType w:val="hybridMultilevel"/>
    <w:tmpl w:val="2E82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82541"/>
    <w:multiLevelType w:val="hybridMultilevel"/>
    <w:tmpl w:val="8784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3C42CC"/>
    <w:multiLevelType w:val="hybridMultilevel"/>
    <w:tmpl w:val="7AF0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F750E1"/>
    <w:multiLevelType w:val="hybridMultilevel"/>
    <w:tmpl w:val="2330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762C79"/>
    <w:multiLevelType w:val="hybridMultilevel"/>
    <w:tmpl w:val="62048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E05423"/>
    <w:multiLevelType w:val="hybridMultilevel"/>
    <w:tmpl w:val="0356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1773E9"/>
    <w:multiLevelType w:val="hybridMultilevel"/>
    <w:tmpl w:val="EBFE2F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7F23A02"/>
    <w:multiLevelType w:val="hybridMultilevel"/>
    <w:tmpl w:val="444C8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9A5DAC"/>
    <w:multiLevelType w:val="hybridMultilevel"/>
    <w:tmpl w:val="A33A6C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2BCC6BA1"/>
    <w:multiLevelType w:val="hybridMultilevel"/>
    <w:tmpl w:val="27E6FB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8751DC"/>
    <w:multiLevelType w:val="hybridMultilevel"/>
    <w:tmpl w:val="327C07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2E162FBD"/>
    <w:multiLevelType w:val="hybridMultilevel"/>
    <w:tmpl w:val="B72E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4E6D21"/>
    <w:multiLevelType w:val="hybridMultilevel"/>
    <w:tmpl w:val="A89CE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EF1FAF"/>
    <w:multiLevelType w:val="hybridMultilevel"/>
    <w:tmpl w:val="84228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2B3613"/>
    <w:multiLevelType w:val="hybridMultilevel"/>
    <w:tmpl w:val="BE600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92418A"/>
    <w:multiLevelType w:val="hybridMultilevel"/>
    <w:tmpl w:val="6EDC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8B782D"/>
    <w:multiLevelType w:val="hybridMultilevel"/>
    <w:tmpl w:val="582AD360"/>
    <w:lvl w:ilvl="0" w:tplc="614E4B70">
      <w:start w:val="5"/>
      <w:numFmt w:val="bullet"/>
      <w:lvlText w:val="-"/>
      <w:lvlJc w:val="left"/>
      <w:pPr>
        <w:ind w:left="720" w:hanging="360"/>
      </w:pPr>
      <w:rPr>
        <w:rFonts w:ascii="Georgia" w:eastAsia="Calibri" w:hAnsi="Georgia"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497839"/>
    <w:multiLevelType w:val="hybridMultilevel"/>
    <w:tmpl w:val="030E8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B07EAD"/>
    <w:multiLevelType w:val="hybridMultilevel"/>
    <w:tmpl w:val="F958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ED757F"/>
    <w:multiLevelType w:val="hybridMultilevel"/>
    <w:tmpl w:val="8E468140"/>
    <w:lvl w:ilvl="0" w:tplc="9D462E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FE54EE"/>
    <w:multiLevelType w:val="hybridMultilevel"/>
    <w:tmpl w:val="EAC4E922"/>
    <w:lvl w:ilvl="0" w:tplc="49444A66">
      <w:start w:val="1"/>
      <w:numFmt w:val="bullet"/>
      <w:lvlText w:val="•"/>
      <w:lvlJc w:val="left"/>
      <w:pPr>
        <w:tabs>
          <w:tab w:val="num" w:pos="720"/>
        </w:tabs>
        <w:ind w:left="720" w:hanging="360"/>
      </w:pPr>
      <w:rPr>
        <w:rFonts w:ascii="Arial" w:hAnsi="Arial" w:hint="default"/>
      </w:rPr>
    </w:lvl>
    <w:lvl w:ilvl="1" w:tplc="9338588A" w:tentative="1">
      <w:start w:val="1"/>
      <w:numFmt w:val="bullet"/>
      <w:lvlText w:val="•"/>
      <w:lvlJc w:val="left"/>
      <w:pPr>
        <w:tabs>
          <w:tab w:val="num" w:pos="1440"/>
        </w:tabs>
        <w:ind w:left="1440" w:hanging="360"/>
      </w:pPr>
      <w:rPr>
        <w:rFonts w:ascii="Arial" w:hAnsi="Arial" w:hint="default"/>
      </w:rPr>
    </w:lvl>
    <w:lvl w:ilvl="2" w:tplc="30AA71C4" w:tentative="1">
      <w:start w:val="1"/>
      <w:numFmt w:val="bullet"/>
      <w:lvlText w:val="•"/>
      <w:lvlJc w:val="left"/>
      <w:pPr>
        <w:tabs>
          <w:tab w:val="num" w:pos="2160"/>
        </w:tabs>
        <w:ind w:left="2160" w:hanging="360"/>
      </w:pPr>
      <w:rPr>
        <w:rFonts w:ascii="Arial" w:hAnsi="Arial" w:hint="default"/>
      </w:rPr>
    </w:lvl>
    <w:lvl w:ilvl="3" w:tplc="071ACDB4" w:tentative="1">
      <w:start w:val="1"/>
      <w:numFmt w:val="bullet"/>
      <w:lvlText w:val="•"/>
      <w:lvlJc w:val="left"/>
      <w:pPr>
        <w:tabs>
          <w:tab w:val="num" w:pos="2880"/>
        </w:tabs>
        <w:ind w:left="2880" w:hanging="360"/>
      </w:pPr>
      <w:rPr>
        <w:rFonts w:ascii="Arial" w:hAnsi="Arial" w:hint="default"/>
      </w:rPr>
    </w:lvl>
    <w:lvl w:ilvl="4" w:tplc="FA38D2EA" w:tentative="1">
      <w:start w:val="1"/>
      <w:numFmt w:val="bullet"/>
      <w:lvlText w:val="•"/>
      <w:lvlJc w:val="left"/>
      <w:pPr>
        <w:tabs>
          <w:tab w:val="num" w:pos="3600"/>
        </w:tabs>
        <w:ind w:left="3600" w:hanging="360"/>
      </w:pPr>
      <w:rPr>
        <w:rFonts w:ascii="Arial" w:hAnsi="Arial" w:hint="default"/>
      </w:rPr>
    </w:lvl>
    <w:lvl w:ilvl="5" w:tplc="07B05DBA" w:tentative="1">
      <w:start w:val="1"/>
      <w:numFmt w:val="bullet"/>
      <w:lvlText w:val="•"/>
      <w:lvlJc w:val="left"/>
      <w:pPr>
        <w:tabs>
          <w:tab w:val="num" w:pos="4320"/>
        </w:tabs>
        <w:ind w:left="4320" w:hanging="360"/>
      </w:pPr>
      <w:rPr>
        <w:rFonts w:ascii="Arial" w:hAnsi="Arial" w:hint="default"/>
      </w:rPr>
    </w:lvl>
    <w:lvl w:ilvl="6" w:tplc="0BFE53B2" w:tentative="1">
      <w:start w:val="1"/>
      <w:numFmt w:val="bullet"/>
      <w:lvlText w:val="•"/>
      <w:lvlJc w:val="left"/>
      <w:pPr>
        <w:tabs>
          <w:tab w:val="num" w:pos="5040"/>
        </w:tabs>
        <w:ind w:left="5040" w:hanging="360"/>
      </w:pPr>
      <w:rPr>
        <w:rFonts w:ascii="Arial" w:hAnsi="Arial" w:hint="default"/>
      </w:rPr>
    </w:lvl>
    <w:lvl w:ilvl="7" w:tplc="59B03330" w:tentative="1">
      <w:start w:val="1"/>
      <w:numFmt w:val="bullet"/>
      <w:lvlText w:val="•"/>
      <w:lvlJc w:val="left"/>
      <w:pPr>
        <w:tabs>
          <w:tab w:val="num" w:pos="5760"/>
        </w:tabs>
        <w:ind w:left="5760" w:hanging="360"/>
      </w:pPr>
      <w:rPr>
        <w:rFonts w:ascii="Arial" w:hAnsi="Arial" w:hint="default"/>
      </w:rPr>
    </w:lvl>
    <w:lvl w:ilvl="8" w:tplc="3FAE6D32" w:tentative="1">
      <w:start w:val="1"/>
      <w:numFmt w:val="bullet"/>
      <w:lvlText w:val="•"/>
      <w:lvlJc w:val="left"/>
      <w:pPr>
        <w:tabs>
          <w:tab w:val="num" w:pos="6480"/>
        </w:tabs>
        <w:ind w:left="6480" w:hanging="360"/>
      </w:pPr>
      <w:rPr>
        <w:rFonts w:ascii="Arial" w:hAnsi="Arial" w:hint="default"/>
      </w:rPr>
    </w:lvl>
  </w:abstractNum>
  <w:abstractNum w:abstractNumId="32">
    <w:nsid w:val="40066433"/>
    <w:multiLevelType w:val="hybridMultilevel"/>
    <w:tmpl w:val="9B302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3B5F18"/>
    <w:multiLevelType w:val="hybridMultilevel"/>
    <w:tmpl w:val="E4180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26563C5"/>
    <w:multiLevelType w:val="hybridMultilevel"/>
    <w:tmpl w:val="B21C5D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0C6B49"/>
    <w:multiLevelType w:val="hybridMultilevel"/>
    <w:tmpl w:val="5492E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CE3EB5"/>
    <w:multiLevelType w:val="hybridMultilevel"/>
    <w:tmpl w:val="D6EC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BE0DF8"/>
    <w:multiLevelType w:val="hybridMultilevel"/>
    <w:tmpl w:val="39106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5C47C6"/>
    <w:multiLevelType w:val="hybridMultilevel"/>
    <w:tmpl w:val="5EE8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F12FC4"/>
    <w:multiLevelType w:val="hybridMultilevel"/>
    <w:tmpl w:val="DBE0C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0E02F4"/>
    <w:multiLevelType w:val="hybridMultilevel"/>
    <w:tmpl w:val="B75853BA"/>
    <w:lvl w:ilvl="0" w:tplc="FFEA64BA">
      <w:start w:val="13"/>
      <w:numFmt w:val="bullet"/>
      <w:lvlText w:val="–"/>
      <w:lvlJc w:val="left"/>
      <w:pPr>
        <w:ind w:left="720" w:hanging="360"/>
      </w:pPr>
      <w:rPr>
        <w:rFonts w:ascii="Georgia" w:eastAsia="Calibri" w:hAnsi="Georgia" w:cs="Helvetica Neue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E71C37"/>
    <w:multiLevelType w:val="hybridMultilevel"/>
    <w:tmpl w:val="F1B0A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950F23"/>
    <w:multiLevelType w:val="hybridMultilevel"/>
    <w:tmpl w:val="41FC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A01A45"/>
    <w:multiLevelType w:val="hybridMultilevel"/>
    <w:tmpl w:val="05B0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FD0A0B"/>
    <w:multiLevelType w:val="hybridMultilevel"/>
    <w:tmpl w:val="1D12C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42313D7"/>
    <w:multiLevelType w:val="multilevel"/>
    <w:tmpl w:val="88907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5E336A1"/>
    <w:multiLevelType w:val="hybridMultilevel"/>
    <w:tmpl w:val="021AF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2A09D6"/>
    <w:multiLevelType w:val="hybridMultilevel"/>
    <w:tmpl w:val="151A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0B41F4"/>
    <w:multiLevelType w:val="hybridMultilevel"/>
    <w:tmpl w:val="FF62F8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CE45314"/>
    <w:multiLevelType w:val="hybridMultilevel"/>
    <w:tmpl w:val="D76E17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nsid w:val="5F131DD4"/>
    <w:multiLevelType w:val="hybridMultilevel"/>
    <w:tmpl w:val="2FD2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8F1378"/>
    <w:multiLevelType w:val="hybridMultilevel"/>
    <w:tmpl w:val="CEF2C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A00F88"/>
    <w:multiLevelType w:val="hybridMultilevel"/>
    <w:tmpl w:val="08E8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7E4414"/>
    <w:multiLevelType w:val="hybridMultilevel"/>
    <w:tmpl w:val="A13049B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54">
    <w:nsid w:val="698D13A9"/>
    <w:multiLevelType w:val="hybridMultilevel"/>
    <w:tmpl w:val="62048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131388"/>
    <w:multiLevelType w:val="hybridMultilevel"/>
    <w:tmpl w:val="F6FA7E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6B69631E"/>
    <w:multiLevelType w:val="hybridMultilevel"/>
    <w:tmpl w:val="7E8A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4D1B53"/>
    <w:multiLevelType w:val="hybridMultilevel"/>
    <w:tmpl w:val="0BAE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CD05AC"/>
    <w:multiLevelType w:val="hybridMultilevel"/>
    <w:tmpl w:val="997A8A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3294AE6"/>
    <w:multiLevelType w:val="hybridMultilevel"/>
    <w:tmpl w:val="62BE8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D97935"/>
    <w:multiLevelType w:val="hybridMultilevel"/>
    <w:tmpl w:val="0664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73B6975"/>
    <w:multiLevelType w:val="hybridMultilevel"/>
    <w:tmpl w:val="E716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214885"/>
    <w:multiLevelType w:val="hybridMultilevel"/>
    <w:tmpl w:val="A75E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6866DC"/>
    <w:multiLevelType w:val="hybridMultilevel"/>
    <w:tmpl w:val="B9F6862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4">
    <w:nsid w:val="7CFD3AA0"/>
    <w:multiLevelType w:val="hybridMultilevel"/>
    <w:tmpl w:val="7A14BA4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5">
    <w:nsid w:val="7FF11C7A"/>
    <w:multiLevelType w:val="hybridMultilevel"/>
    <w:tmpl w:val="7A18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52"/>
  </w:num>
  <w:num w:numId="3">
    <w:abstractNumId w:val="26"/>
  </w:num>
  <w:num w:numId="4">
    <w:abstractNumId w:val="1"/>
  </w:num>
  <w:num w:numId="5">
    <w:abstractNumId w:val="59"/>
  </w:num>
  <w:num w:numId="6">
    <w:abstractNumId w:val="24"/>
  </w:num>
  <w:num w:numId="7">
    <w:abstractNumId w:val="3"/>
  </w:num>
  <w:num w:numId="8">
    <w:abstractNumId w:val="28"/>
  </w:num>
  <w:num w:numId="9">
    <w:abstractNumId w:val="53"/>
  </w:num>
  <w:num w:numId="10">
    <w:abstractNumId w:val="33"/>
  </w:num>
  <w:num w:numId="11">
    <w:abstractNumId w:val="25"/>
  </w:num>
  <w:num w:numId="12">
    <w:abstractNumId w:val="13"/>
  </w:num>
  <w:num w:numId="13">
    <w:abstractNumId w:val="56"/>
  </w:num>
  <w:num w:numId="14">
    <w:abstractNumId w:val="37"/>
  </w:num>
  <w:num w:numId="15">
    <w:abstractNumId w:val="15"/>
  </w:num>
  <w:num w:numId="16">
    <w:abstractNumId w:val="14"/>
  </w:num>
  <w:num w:numId="17">
    <w:abstractNumId w:val="47"/>
  </w:num>
  <w:num w:numId="18">
    <w:abstractNumId w:val="42"/>
  </w:num>
  <w:num w:numId="19">
    <w:abstractNumId w:val="7"/>
  </w:num>
  <w:num w:numId="20">
    <w:abstractNumId w:val="2"/>
  </w:num>
  <w:num w:numId="21">
    <w:abstractNumId w:val="57"/>
  </w:num>
  <w:num w:numId="22">
    <w:abstractNumId w:val="60"/>
  </w:num>
  <w:num w:numId="23">
    <w:abstractNumId w:val="22"/>
  </w:num>
  <w:num w:numId="24">
    <w:abstractNumId w:val="5"/>
  </w:num>
  <w:num w:numId="25">
    <w:abstractNumId w:val="36"/>
  </w:num>
  <w:num w:numId="26">
    <w:abstractNumId w:val="40"/>
  </w:num>
  <w:num w:numId="27">
    <w:abstractNumId w:val="4"/>
  </w:num>
  <w:num w:numId="28">
    <w:abstractNumId w:val="41"/>
  </w:num>
  <w:num w:numId="29">
    <w:abstractNumId w:val="32"/>
  </w:num>
  <w:num w:numId="30">
    <w:abstractNumId w:val="18"/>
  </w:num>
  <w:num w:numId="31">
    <w:abstractNumId w:val="51"/>
  </w:num>
  <w:num w:numId="32">
    <w:abstractNumId w:val="27"/>
  </w:num>
  <w:num w:numId="33">
    <w:abstractNumId w:val="61"/>
  </w:num>
  <w:num w:numId="34">
    <w:abstractNumId w:val="6"/>
  </w:num>
  <w:num w:numId="35">
    <w:abstractNumId w:val="23"/>
  </w:num>
  <w:num w:numId="36">
    <w:abstractNumId w:val="17"/>
  </w:num>
  <w:num w:numId="37">
    <w:abstractNumId w:val="58"/>
  </w:num>
  <w:num w:numId="38">
    <w:abstractNumId w:val="35"/>
  </w:num>
  <w:num w:numId="39">
    <w:abstractNumId w:val="65"/>
  </w:num>
  <w:num w:numId="40">
    <w:abstractNumId w:val="11"/>
  </w:num>
  <w:num w:numId="41">
    <w:abstractNumId w:val="12"/>
  </w:num>
  <w:num w:numId="42">
    <w:abstractNumId w:val="38"/>
  </w:num>
  <w:num w:numId="43">
    <w:abstractNumId w:val="20"/>
  </w:num>
  <w:num w:numId="44">
    <w:abstractNumId w:val="54"/>
  </w:num>
  <w:num w:numId="45">
    <w:abstractNumId w:val="16"/>
  </w:num>
  <w:num w:numId="46">
    <w:abstractNumId w:val="45"/>
  </w:num>
  <w:num w:numId="47">
    <w:abstractNumId w:val="44"/>
  </w:num>
  <w:num w:numId="48">
    <w:abstractNumId w:val="48"/>
  </w:num>
  <w:num w:numId="49">
    <w:abstractNumId w:val="9"/>
  </w:num>
  <w:num w:numId="50">
    <w:abstractNumId w:val="49"/>
  </w:num>
  <w:num w:numId="51">
    <w:abstractNumId w:val="30"/>
  </w:num>
  <w:num w:numId="52">
    <w:abstractNumId w:val="55"/>
  </w:num>
  <w:num w:numId="53">
    <w:abstractNumId w:val="29"/>
  </w:num>
  <w:num w:numId="54">
    <w:abstractNumId w:val="46"/>
  </w:num>
  <w:num w:numId="55">
    <w:abstractNumId w:val="63"/>
  </w:num>
  <w:num w:numId="56">
    <w:abstractNumId w:val="34"/>
  </w:num>
  <w:num w:numId="57">
    <w:abstractNumId w:val="8"/>
  </w:num>
  <w:num w:numId="58">
    <w:abstractNumId w:val="0"/>
  </w:num>
  <w:num w:numId="59">
    <w:abstractNumId w:val="21"/>
  </w:num>
  <w:num w:numId="60">
    <w:abstractNumId w:val="19"/>
  </w:num>
  <w:num w:numId="61">
    <w:abstractNumId w:val="43"/>
  </w:num>
  <w:num w:numId="62">
    <w:abstractNumId w:val="62"/>
  </w:num>
  <w:num w:numId="63">
    <w:abstractNumId w:val="31"/>
  </w:num>
  <w:num w:numId="64">
    <w:abstractNumId w:val="10"/>
  </w:num>
  <w:num w:numId="65">
    <w:abstractNumId w:val="50"/>
  </w:num>
  <w:num w:numId="66">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2E8"/>
    <w:rsid w:val="00001E96"/>
    <w:rsid w:val="0000415C"/>
    <w:rsid w:val="00010645"/>
    <w:rsid w:val="00010B2D"/>
    <w:rsid w:val="000112F7"/>
    <w:rsid w:val="00011850"/>
    <w:rsid w:val="000123DD"/>
    <w:rsid w:val="00014B68"/>
    <w:rsid w:val="000177F9"/>
    <w:rsid w:val="00022C77"/>
    <w:rsid w:val="000234C4"/>
    <w:rsid w:val="00023E52"/>
    <w:rsid w:val="000267C2"/>
    <w:rsid w:val="000268E6"/>
    <w:rsid w:val="000271D2"/>
    <w:rsid w:val="000307F3"/>
    <w:rsid w:val="0003203D"/>
    <w:rsid w:val="00033122"/>
    <w:rsid w:val="000332E8"/>
    <w:rsid w:val="000343E8"/>
    <w:rsid w:val="00035EC9"/>
    <w:rsid w:val="00035F18"/>
    <w:rsid w:val="00036681"/>
    <w:rsid w:val="000366B7"/>
    <w:rsid w:val="0003745D"/>
    <w:rsid w:val="000378CE"/>
    <w:rsid w:val="0004170F"/>
    <w:rsid w:val="00041806"/>
    <w:rsid w:val="00041E44"/>
    <w:rsid w:val="00046ACB"/>
    <w:rsid w:val="000473B6"/>
    <w:rsid w:val="00047E88"/>
    <w:rsid w:val="00052A00"/>
    <w:rsid w:val="00053C21"/>
    <w:rsid w:val="000551E4"/>
    <w:rsid w:val="00055560"/>
    <w:rsid w:val="0005561F"/>
    <w:rsid w:val="00055962"/>
    <w:rsid w:val="00056003"/>
    <w:rsid w:val="000566CD"/>
    <w:rsid w:val="000567F6"/>
    <w:rsid w:val="00060F99"/>
    <w:rsid w:val="00065EF8"/>
    <w:rsid w:val="0006621E"/>
    <w:rsid w:val="00066925"/>
    <w:rsid w:val="00067872"/>
    <w:rsid w:val="00070602"/>
    <w:rsid w:val="0007215C"/>
    <w:rsid w:val="00073DE6"/>
    <w:rsid w:val="00076B7A"/>
    <w:rsid w:val="00076FF9"/>
    <w:rsid w:val="000805F2"/>
    <w:rsid w:val="000812C9"/>
    <w:rsid w:val="00082005"/>
    <w:rsid w:val="00082F0E"/>
    <w:rsid w:val="00083CC0"/>
    <w:rsid w:val="00083CC4"/>
    <w:rsid w:val="00084807"/>
    <w:rsid w:val="00085EBB"/>
    <w:rsid w:val="00086FD2"/>
    <w:rsid w:val="000905C7"/>
    <w:rsid w:val="00091436"/>
    <w:rsid w:val="0009302E"/>
    <w:rsid w:val="000975D3"/>
    <w:rsid w:val="000A002D"/>
    <w:rsid w:val="000A012A"/>
    <w:rsid w:val="000A1A98"/>
    <w:rsid w:val="000A2C0B"/>
    <w:rsid w:val="000A46EA"/>
    <w:rsid w:val="000A62AD"/>
    <w:rsid w:val="000A7B58"/>
    <w:rsid w:val="000B009B"/>
    <w:rsid w:val="000B176B"/>
    <w:rsid w:val="000B1B99"/>
    <w:rsid w:val="000B308F"/>
    <w:rsid w:val="000B6CE6"/>
    <w:rsid w:val="000B79B8"/>
    <w:rsid w:val="000C2935"/>
    <w:rsid w:val="000C3EB1"/>
    <w:rsid w:val="000C5A17"/>
    <w:rsid w:val="000D0D45"/>
    <w:rsid w:val="000D0E2D"/>
    <w:rsid w:val="000D3236"/>
    <w:rsid w:val="000D3547"/>
    <w:rsid w:val="000D3FA0"/>
    <w:rsid w:val="000D6252"/>
    <w:rsid w:val="000D6449"/>
    <w:rsid w:val="000E1B0D"/>
    <w:rsid w:val="000E2F35"/>
    <w:rsid w:val="000E6F2B"/>
    <w:rsid w:val="000E70DF"/>
    <w:rsid w:val="000F00D9"/>
    <w:rsid w:val="000F00E7"/>
    <w:rsid w:val="000F14B3"/>
    <w:rsid w:val="000F40EF"/>
    <w:rsid w:val="000F7497"/>
    <w:rsid w:val="000F7CEC"/>
    <w:rsid w:val="001000DB"/>
    <w:rsid w:val="001005D8"/>
    <w:rsid w:val="00101366"/>
    <w:rsid w:val="00101A44"/>
    <w:rsid w:val="00102657"/>
    <w:rsid w:val="00102B02"/>
    <w:rsid w:val="0010328A"/>
    <w:rsid w:val="001054CD"/>
    <w:rsid w:val="001115D1"/>
    <w:rsid w:val="00112002"/>
    <w:rsid w:val="0011220C"/>
    <w:rsid w:val="00112C97"/>
    <w:rsid w:val="00112FD9"/>
    <w:rsid w:val="00112FEC"/>
    <w:rsid w:val="0011430F"/>
    <w:rsid w:val="001144ED"/>
    <w:rsid w:val="00114C79"/>
    <w:rsid w:val="0011617C"/>
    <w:rsid w:val="0011650B"/>
    <w:rsid w:val="00117EC2"/>
    <w:rsid w:val="00120F3F"/>
    <w:rsid w:val="00121ADC"/>
    <w:rsid w:val="00121E87"/>
    <w:rsid w:val="001222E9"/>
    <w:rsid w:val="001231BC"/>
    <w:rsid w:val="00123209"/>
    <w:rsid w:val="00124116"/>
    <w:rsid w:val="0012440F"/>
    <w:rsid w:val="00124754"/>
    <w:rsid w:val="00125EA3"/>
    <w:rsid w:val="00127F2F"/>
    <w:rsid w:val="00130A6D"/>
    <w:rsid w:val="00131804"/>
    <w:rsid w:val="001373C3"/>
    <w:rsid w:val="00137921"/>
    <w:rsid w:val="00137AC2"/>
    <w:rsid w:val="00137BF6"/>
    <w:rsid w:val="00143E6B"/>
    <w:rsid w:val="00145603"/>
    <w:rsid w:val="00146075"/>
    <w:rsid w:val="00146744"/>
    <w:rsid w:val="00147CC6"/>
    <w:rsid w:val="00152CD8"/>
    <w:rsid w:val="00153052"/>
    <w:rsid w:val="001543AA"/>
    <w:rsid w:val="00155321"/>
    <w:rsid w:val="00155431"/>
    <w:rsid w:val="00156368"/>
    <w:rsid w:val="00157310"/>
    <w:rsid w:val="001573B4"/>
    <w:rsid w:val="00157BB7"/>
    <w:rsid w:val="00160AAB"/>
    <w:rsid w:val="00160B59"/>
    <w:rsid w:val="001635D3"/>
    <w:rsid w:val="0016494B"/>
    <w:rsid w:val="00164C03"/>
    <w:rsid w:val="00165368"/>
    <w:rsid w:val="0017331F"/>
    <w:rsid w:val="0017464C"/>
    <w:rsid w:val="00174F76"/>
    <w:rsid w:val="001751DA"/>
    <w:rsid w:val="001752F5"/>
    <w:rsid w:val="00176259"/>
    <w:rsid w:val="00177107"/>
    <w:rsid w:val="001773F3"/>
    <w:rsid w:val="00177C9D"/>
    <w:rsid w:val="00180220"/>
    <w:rsid w:val="00180A8A"/>
    <w:rsid w:val="00181E5A"/>
    <w:rsid w:val="00181EE0"/>
    <w:rsid w:val="00182370"/>
    <w:rsid w:val="00182C53"/>
    <w:rsid w:val="00183093"/>
    <w:rsid w:val="00186995"/>
    <w:rsid w:val="00190BCB"/>
    <w:rsid w:val="0019309A"/>
    <w:rsid w:val="001973EE"/>
    <w:rsid w:val="00197D7D"/>
    <w:rsid w:val="001A0DA6"/>
    <w:rsid w:val="001A149A"/>
    <w:rsid w:val="001A2566"/>
    <w:rsid w:val="001A36A5"/>
    <w:rsid w:val="001A4EB3"/>
    <w:rsid w:val="001A6394"/>
    <w:rsid w:val="001A7496"/>
    <w:rsid w:val="001B084C"/>
    <w:rsid w:val="001B1837"/>
    <w:rsid w:val="001B2AF9"/>
    <w:rsid w:val="001C202E"/>
    <w:rsid w:val="001C21DA"/>
    <w:rsid w:val="001C2841"/>
    <w:rsid w:val="001C4FDE"/>
    <w:rsid w:val="001C539C"/>
    <w:rsid w:val="001C60F3"/>
    <w:rsid w:val="001C6276"/>
    <w:rsid w:val="001C66A1"/>
    <w:rsid w:val="001C67D5"/>
    <w:rsid w:val="001C6BF2"/>
    <w:rsid w:val="001D1811"/>
    <w:rsid w:val="001D2D0F"/>
    <w:rsid w:val="001D51D6"/>
    <w:rsid w:val="001D5311"/>
    <w:rsid w:val="001D6691"/>
    <w:rsid w:val="001D68E8"/>
    <w:rsid w:val="001E01C1"/>
    <w:rsid w:val="001E0875"/>
    <w:rsid w:val="001E27D6"/>
    <w:rsid w:val="001E4F6A"/>
    <w:rsid w:val="001E5AE3"/>
    <w:rsid w:val="001E720D"/>
    <w:rsid w:val="001E7B50"/>
    <w:rsid w:val="001F016F"/>
    <w:rsid w:val="001F0BA1"/>
    <w:rsid w:val="001F0F0A"/>
    <w:rsid w:val="001F190C"/>
    <w:rsid w:val="001F386C"/>
    <w:rsid w:val="001F53AC"/>
    <w:rsid w:val="001F6507"/>
    <w:rsid w:val="00200F91"/>
    <w:rsid w:val="002015B5"/>
    <w:rsid w:val="00206186"/>
    <w:rsid w:val="00207C20"/>
    <w:rsid w:val="00210B06"/>
    <w:rsid w:val="002117B1"/>
    <w:rsid w:val="00211864"/>
    <w:rsid w:val="00214731"/>
    <w:rsid w:val="002148DF"/>
    <w:rsid w:val="00215A66"/>
    <w:rsid w:val="00216D7C"/>
    <w:rsid w:val="00217DB2"/>
    <w:rsid w:val="00220A52"/>
    <w:rsid w:val="00221DA5"/>
    <w:rsid w:val="00222309"/>
    <w:rsid w:val="00223131"/>
    <w:rsid w:val="0022348D"/>
    <w:rsid w:val="002242D6"/>
    <w:rsid w:val="00226BF3"/>
    <w:rsid w:val="00226C02"/>
    <w:rsid w:val="00230D1B"/>
    <w:rsid w:val="0023175E"/>
    <w:rsid w:val="00231A75"/>
    <w:rsid w:val="00234CCA"/>
    <w:rsid w:val="00237A6A"/>
    <w:rsid w:val="00240298"/>
    <w:rsid w:val="00240E1F"/>
    <w:rsid w:val="002428FA"/>
    <w:rsid w:val="00242CD9"/>
    <w:rsid w:val="00243333"/>
    <w:rsid w:val="002435A7"/>
    <w:rsid w:val="00243B48"/>
    <w:rsid w:val="00243E1E"/>
    <w:rsid w:val="0024489D"/>
    <w:rsid w:val="002449AB"/>
    <w:rsid w:val="00244CB1"/>
    <w:rsid w:val="002459B1"/>
    <w:rsid w:val="00250E27"/>
    <w:rsid w:val="00251193"/>
    <w:rsid w:val="00252DA2"/>
    <w:rsid w:val="00253997"/>
    <w:rsid w:val="00254EAE"/>
    <w:rsid w:val="00260E47"/>
    <w:rsid w:val="00261421"/>
    <w:rsid w:val="002645D6"/>
    <w:rsid w:val="00265053"/>
    <w:rsid w:val="0026632F"/>
    <w:rsid w:val="002734E0"/>
    <w:rsid w:val="002747F9"/>
    <w:rsid w:val="002760E4"/>
    <w:rsid w:val="0027701B"/>
    <w:rsid w:val="002803D3"/>
    <w:rsid w:val="00281F23"/>
    <w:rsid w:val="00282E95"/>
    <w:rsid w:val="0028380E"/>
    <w:rsid w:val="00283C1D"/>
    <w:rsid w:val="002841B5"/>
    <w:rsid w:val="002843D3"/>
    <w:rsid w:val="00286AA2"/>
    <w:rsid w:val="00287B8C"/>
    <w:rsid w:val="0029052A"/>
    <w:rsid w:val="00290A5E"/>
    <w:rsid w:val="00292333"/>
    <w:rsid w:val="00294713"/>
    <w:rsid w:val="002947D1"/>
    <w:rsid w:val="00295479"/>
    <w:rsid w:val="00295744"/>
    <w:rsid w:val="0029599B"/>
    <w:rsid w:val="00296BCE"/>
    <w:rsid w:val="00297C42"/>
    <w:rsid w:val="002A1851"/>
    <w:rsid w:val="002A5268"/>
    <w:rsid w:val="002A78A1"/>
    <w:rsid w:val="002A7AEC"/>
    <w:rsid w:val="002A7C36"/>
    <w:rsid w:val="002B110C"/>
    <w:rsid w:val="002B1A5A"/>
    <w:rsid w:val="002B21E2"/>
    <w:rsid w:val="002B3076"/>
    <w:rsid w:val="002B578E"/>
    <w:rsid w:val="002B5B9F"/>
    <w:rsid w:val="002B68B3"/>
    <w:rsid w:val="002B71E9"/>
    <w:rsid w:val="002B76EC"/>
    <w:rsid w:val="002C166C"/>
    <w:rsid w:val="002C66F3"/>
    <w:rsid w:val="002C69E2"/>
    <w:rsid w:val="002D0500"/>
    <w:rsid w:val="002D08D8"/>
    <w:rsid w:val="002D09C4"/>
    <w:rsid w:val="002D3514"/>
    <w:rsid w:val="002D495D"/>
    <w:rsid w:val="002D7226"/>
    <w:rsid w:val="002E0527"/>
    <w:rsid w:val="002E2AA7"/>
    <w:rsid w:val="002E379F"/>
    <w:rsid w:val="002E5C8B"/>
    <w:rsid w:val="002E66A4"/>
    <w:rsid w:val="002E7773"/>
    <w:rsid w:val="002F114A"/>
    <w:rsid w:val="002F1FD2"/>
    <w:rsid w:val="002F2311"/>
    <w:rsid w:val="002F28BF"/>
    <w:rsid w:val="002F295D"/>
    <w:rsid w:val="002F3797"/>
    <w:rsid w:val="002F5312"/>
    <w:rsid w:val="002F7748"/>
    <w:rsid w:val="002F7B26"/>
    <w:rsid w:val="003007E9"/>
    <w:rsid w:val="00302126"/>
    <w:rsid w:val="0030381F"/>
    <w:rsid w:val="003043D1"/>
    <w:rsid w:val="00305124"/>
    <w:rsid w:val="003075B9"/>
    <w:rsid w:val="00307697"/>
    <w:rsid w:val="0031030E"/>
    <w:rsid w:val="00311C6C"/>
    <w:rsid w:val="0031310C"/>
    <w:rsid w:val="00313121"/>
    <w:rsid w:val="00315062"/>
    <w:rsid w:val="0031596B"/>
    <w:rsid w:val="00320ED5"/>
    <w:rsid w:val="00322C45"/>
    <w:rsid w:val="00323789"/>
    <w:rsid w:val="00326190"/>
    <w:rsid w:val="00326206"/>
    <w:rsid w:val="00326C5D"/>
    <w:rsid w:val="00327755"/>
    <w:rsid w:val="00330F37"/>
    <w:rsid w:val="00331365"/>
    <w:rsid w:val="003345A6"/>
    <w:rsid w:val="00335307"/>
    <w:rsid w:val="00337FB9"/>
    <w:rsid w:val="003400BA"/>
    <w:rsid w:val="00342FCB"/>
    <w:rsid w:val="003442FF"/>
    <w:rsid w:val="00345DB5"/>
    <w:rsid w:val="00354432"/>
    <w:rsid w:val="00354BF6"/>
    <w:rsid w:val="00356A43"/>
    <w:rsid w:val="0035758B"/>
    <w:rsid w:val="003575DF"/>
    <w:rsid w:val="0036132D"/>
    <w:rsid w:val="00363E32"/>
    <w:rsid w:val="00366533"/>
    <w:rsid w:val="0036693C"/>
    <w:rsid w:val="003669DB"/>
    <w:rsid w:val="00367552"/>
    <w:rsid w:val="00370806"/>
    <w:rsid w:val="00371928"/>
    <w:rsid w:val="00372915"/>
    <w:rsid w:val="00374688"/>
    <w:rsid w:val="00375AD5"/>
    <w:rsid w:val="00375CCF"/>
    <w:rsid w:val="0037606A"/>
    <w:rsid w:val="00376DB7"/>
    <w:rsid w:val="003808C5"/>
    <w:rsid w:val="00380B60"/>
    <w:rsid w:val="003822D8"/>
    <w:rsid w:val="00382ADC"/>
    <w:rsid w:val="00382C5F"/>
    <w:rsid w:val="003854B8"/>
    <w:rsid w:val="00385C47"/>
    <w:rsid w:val="0038771C"/>
    <w:rsid w:val="00391124"/>
    <w:rsid w:val="003913B4"/>
    <w:rsid w:val="00391800"/>
    <w:rsid w:val="0039185A"/>
    <w:rsid w:val="003923EA"/>
    <w:rsid w:val="00392AE1"/>
    <w:rsid w:val="00393F30"/>
    <w:rsid w:val="00394449"/>
    <w:rsid w:val="00394972"/>
    <w:rsid w:val="00395084"/>
    <w:rsid w:val="00396CE8"/>
    <w:rsid w:val="003A0BA5"/>
    <w:rsid w:val="003A0D1A"/>
    <w:rsid w:val="003A6FBF"/>
    <w:rsid w:val="003B0C9F"/>
    <w:rsid w:val="003B197B"/>
    <w:rsid w:val="003B2539"/>
    <w:rsid w:val="003B3622"/>
    <w:rsid w:val="003B4F5A"/>
    <w:rsid w:val="003B504D"/>
    <w:rsid w:val="003B70AC"/>
    <w:rsid w:val="003C0E8B"/>
    <w:rsid w:val="003C260D"/>
    <w:rsid w:val="003C3201"/>
    <w:rsid w:val="003C431A"/>
    <w:rsid w:val="003C4A00"/>
    <w:rsid w:val="003C52D7"/>
    <w:rsid w:val="003C5651"/>
    <w:rsid w:val="003C598D"/>
    <w:rsid w:val="003C6A74"/>
    <w:rsid w:val="003C719F"/>
    <w:rsid w:val="003C721C"/>
    <w:rsid w:val="003D153C"/>
    <w:rsid w:val="003D3558"/>
    <w:rsid w:val="003D55AF"/>
    <w:rsid w:val="003E0096"/>
    <w:rsid w:val="003E02B8"/>
    <w:rsid w:val="003E15D9"/>
    <w:rsid w:val="003E23BB"/>
    <w:rsid w:val="003E2D5C"/>
    <w:rsid w:val="003E2FF6"/>
    <w:rsid w:val="003E4706"/>
    <w:rsid w:val="003E689E"/>
    <w:rsid w:val="003E73E2"/>
    <w:rsid w:val="003E73ED"/>
    <w:rsid w:val="003F0D06"/>
    <w:rsid w:val="003F2124"/>
    <w:rsid w:val="003F3798"/>
    <w:rsid w:val="003F4008"/>
    <w:rsid w:val="003F655A"/>
    <w:rsid w:val="003F66F9"/>
    <w:rsid w:val="003F7F14"/>
    <w:rsid w:val="00402161"/>
    <w:rsid w:val="00405058"/>
    <w:rsid w:val="004050C8"/>
    <w:rsid w:val="00406BBC"/>
    <w:rsid w:val="00406D10"/>
    <w:rsid w:val="004073A1"/>
    <w:rsid w:val="00407DDA"/>
    <w:rsid w:val="00411B15"/>
    <w:rsid w:val="004122B1"/>
    <w:rsid w:val="004141C0"/>
    <w:rsid w:val="004148A9"/>
    <w:rsid w:val="00416573"/>
    <w:rsid w:val="004173A9"/>
    <w:rsid w:val="00421C50"/>
    <w:rsid w:val="0042369F"/>
    <w:rsid w:val="0042578A"/>
    <w:rsid w:val="004260BD"/>
    <w:rsid w:val="0042661E"/>
    <w:rsid w:val="0042795E"/>
    <w:rsid w:val="004308B9"/>
    <w:rsid w:val="00431519"/>
    <w:rsid w:val="004316FD"/>
    <w:rsid w:val="004329ED"/>
    <w:rsid w:val="00436563"/>
    <w:rsid w:val="00436F21"/>
    <w:rsid w:val="004372B6"/>
    <w:rsid w:val="00442218"/>
    <w:rsid w:val="00447102"/>
    <w:rsid w:val="00447B9A"/>
    <w:rsid w:val="00447F93"/>
    <w:rsid w:val="00451B61"/>
    <w:rsid w:val="00452B70"/>
    <w:rsid w:val="00453274"/>
    <w:rsid w:val="00455544"/>
    <w:rsid w:val="0045571E"/>
    <w:rsid w:val="00456C30"/>
    <w:rsid w:val="0045733A"/>
    <w:rsid w:val="00462951"/>
    <w:rsid w:val="00466050"/>
    <w:rsid w:val="004674F2"/>
    <w:rsid w:val="00467DAA"/>
    <w:rsid w:val="0047010A"/>
    <w:rsid w:val="00472874"/>
    <w:rsid w:val="004730A6"/>
    <w:rsid w:val="0047344A"/>
    <w:rsid w:val="00474750"/>
    <w:rsid w:val="00475C6B"/>
    <w:rsid w:val="00480090"/>
    <w:rsid w:val="00481520"/>
    <w:rsid w:val="00481D06"/>
    <w:rsid w:val="00481ED5"/>
    <w:rsid w:val="00481F5F"/>
    <w:rsid w:val="00484366"/>
    <w:rsid w:val="004844B6"/>
    <w:rsid w:val="00484ACD"/>
    <w:rsid w:val="00485F11"/>
    <w:rsid w:val="00485F7A"/>
    <w:rsid w:val="004865AA"/>
    <w:rsid w:val="00490AC6"/>
    <w:rsid w:val="0049263C"/>
    <w:rsid w:val="00492AE0"/>
    <w:rsid w:val="00492F1B"/>
    <w:rsid w:val="00493E0C"/>
    <w:rsid w:val="00494C9A"/>
    <w:rsid w:val="00495288"/>
    <w:rsid w:val="004A044C"/>
    <w:rsid w:val="004A0749"/>
    <w:rsid w:val="004A0820"/>
    <w:rsid w:val="004A14D8"/>
    <w:rsid w:val="004A1A6D"/>
    <w:rsid w:val="004A2058"/>
    <w:rsid w:val="004A362E"/>
    <w:rsid w:val="004A4BA7"/>
    <w:rsid w:val="004A570F"/>
    <w:rsid w:val="004A57E1"/>
    <w:rsid w:val="004A5F73"/>
    <w:rsid w:val="004B0B13"/>
    <w:rsid w:val="004B1CF1"/>
    <w:rsid w:val="004B233D"/>
    <w:rsid w:val="004B26BC"/>
    <w:rsid w:val="004B30CB"/>
    <w:rsid w:val="004B67F1"/>
    <w:rsid w:val="004B685B"/>
    <w:rsid w:val="004B7DA0"/>
    <w:rsid w:val="004C00A5"/>
    <w:rsid w:val="004C16DE"/>
    <w:rsid w:val="004C539B"/>
    <w:rsid w:val="004C63F2"/>
    <w:rsid w:val="004C6960"/>
    <w:rsid w:val="004C7BDA"/>
    <w:rsid w:val="004D0D9F"/>
    <w:rsid w:val="004D1300"/>
    <w:rsid w:val="004D22CD"/>
    <w:rsid w:val="004D52BF"/>
    <w:rsid w:val="004E0FA1"/>
    <w:rsid w:val="004E211B"/>
    <w:rsid w:val="004E31F9"/>
    <w:rsid w:val="004E42B7"/>
    <w:rsid w:val="004E58C8"/>
    <w:rsid w:val="004E5F8B"/>
    <w:rsid w:val="004E6D0C"/>
    <w:rsid w:val="004F1CC8"/>
    <w:rsid w:val="004F27DF"/>
    <w:rsid w:val="004F3B4F"/>
    <w:rsid w:val="004F3F7A"/>
    <w:rsid w:val="004F50CE"/>
    <w:rsid w:val="00500021"/>
    <w:rsid w:val="00502BEB"/>
    <w:rsid w:val="00503D8F"/>
    <w:rsid w:val="00504ACC"/>
    <w:rsid w:val="00511874"/>
    <w:rsid w:val="005135DE"/>
    <w:rsid w:val="00515980"/>
    <w:rsid w:val="005173B4"/>
    <w:rsid w:val="005209F6"/>
    <w:rsid w:val="0052122A"/>
    <w:rsid w:val="005214D1"/>
    <w:rsid w:val="00521570"/>
    <w:rsid w:val="005219FE"/>
    <w:rsid w:val="0052506B"/>
    <w:rsid w:val="005271BC"/>
    <w:rsid w:val="00527FA5"/>
    <w:rsid w:val="005310A9"/>
    <w:rsid w:val="00531168"/>
    <w:rsid w:val="00531620"/>
    <w:rsid w:val="00533015"/>
    <w:rsid w:val="00533A90"/>
    <w:rsid w:val="00536B23"/>
    <w:rsid w:val="0054511A"/>
    <w:rsid w:val="0054562A"/>
    <w:rsid w:val="00554FFE"/>
    <w:rsid w:val="00556BB5"/>
    <w:rsid w:val="00556E0B"/>
    <w:rsid w:val="0056121B"/>
    <w:rsid w:val="00562326"/>
    <w:rsid w:val="005629E5"/>
    <w:rsid w:val="00563E33"/>
    <w:rsid w:val="0056555C"/>
    <w:rsid w:val="00570AC3"/>
    <w:rsid w:val="00570B29"/>
    <w:rsid w:val="00571BC5"/>
    <w:rsid w:val="00571E6C"/>
    <w:rsid w:val="005732B8"/>
    <w:rsid w:val="0057335B"/>
    <w:rsid w:val="00575A4C"/>
    <w:rsid w:val="00576404"/>
    <w:rsid w:val="005778EE"/>
    <w:rsid w:val="005825D0"/>
    <w:rsid w:val="00584B01"/>
    <w:rsid w:val="00586079"/>
    <w:rsid w:val="00586EC7"/>
    <w:rsid w:val="00592109"/>
    <w:rsid w:val="00594129"/>
    <w:rsid w:val="00596049"/>
    <w:rsid w:val="00596077"/>
    <w:rsid w:val="005A072F"/>
    <w:rsid w:val="005A1910"/>
    <w:rsid w:val="005A19A9"/>
    <w:rsid w:val="005A4E37"/>
    <w:rsid w:val="005A69E9"/>
    <w:rsid w:val="005A6C71"/>
    <w:rsid w:val="005A6DFD"/>
    <w:rsid w:val="005A76B1"/>
    <w:rsid w:val="005B04C0"/>
    <w:rsid w:val="005B1C2D"/>
    <w:rsid w:val="005B5592"/>
    <w:rsid w:val="005B5A9C"/>
    <w:rsid w:val="005C5DA3"/>
    <w:rsid w:val="005D0566"/>
    <w:rsid w:val="005D0741"/>
    <w:rsid w:val="005D2C10"/>
    <w:rsid w:val="005D3782"/>
    <w:rsid w:val="005D45FC"/>
    <w:rsid w:val="005D46B0"/>
    <w:rsid w:val="005D6CE9"/>
    <w:rsid w:val="005D75A5"/>
    <w:rsid w:val="005E2041"/>
    <w:rsid w:val="005E3C01"/>
    <w:rsid w:val="005E5750"/>
    <w:rsid w:val="005E738E"/>
    <w:rsid w:val="005F022F"/>
    <w:rsid w:val="005F2971"/>
    <w:rsid w:val="005F39DF"/>
    <w:rsid w:val="005F41AB"/>
    <w:rsid w:val="005F4460"/>
    <w:rsid w:val="005F46AE"/>
    <w:rsid w:val="005F4A30"/>
    <w:rsid w:val="005F512B"/>
    <w:rsid w:val="005F52C5"/>
    <w:rsid w:val="005F5463"/>
    <w:rsid w:val="005F60BC"/>
    <w:rsid w:val="005F7F2C"/>
    <w:rsid w:val="0060033F"/>
    <w:rsid w:val="0060175D"/>
    <w:rsid w:val="00602F9D"/>
    <w:rsid w:val="00603547"/>
    <w:rsid w:val="00604A41"/>
    <w:rsid w:val="00604E4C"/>
    <w:rsid w:val="006056CC"/>
    <w:rsid w:val="006067FB"/>
    <w:rsid w:val="00610CFA"/>
    <w:rsid w:val="006118D4"/>
    <w:rsid w:val="00611E30"/>
    <w:rsid w:val="00613176"/>
    <w:rsid w:val="00613729"/>
    <w:rsid w:val="00613CA6"/>
    <w:rsid w:val="00615102"/>
    <w:rsid w:val="00615733"/>
    <w:rsid w:val="00620B34"/>
    <w:rsid w:val="00621331"/>
    <w:rsid w:val="00623084"/>
    <w:rsid w:val="00623B42"/>
    <w:rsid w:val="0062475C"/>
    <w:rsid w:val="00624DDE"/>
    <w:rsid w:val="00626B57"/>
    <w:rsid w:val="0062754A"/>
    <w:rsid w:val="006318A9"/>
    <w:rsid w:val="00633225"/>
    <w:rsid w:val="00637746"/>
    <w:rsid w:val="006434C3"/>
    <w:rsid w:val="00644EBA"/>
    <w:rsid w:val="0064654E"/>
    <w:rsid w:val="00647456"/>
    <w:rsid w:val="00647A81"/>
    <w:rsid w:val="00650FCD"/>
    <w:rsid w:val="00651BCD"/>
    <w:rsid w:val="0065222E"/>
    <w:rsid w:val="006538E3"/>
    <w:rsid w:val="006539D4"/>
    <w:rsid w:val="00654E65"/>
    <w:rsid w:val="00656B9B"/>
    <w:rsid w:val="0065745F"/>
    <w:rsid w:val="0066093B"/>
    <w:rsid w:val="00660D22"/>
    <w:rsid w:val="00661A4A"/>
    <w:rsid w:val="0066374A"/>
    <w:rsid w:val="006638BB"/>
    <w:rsid w:val="00663D8E"/>
    <w:rsid w:val="006643EE"/>
    <w:rsid w:val="00666E8C"/>
    <w:rsid w:val="0066755F"/>
    <w:rsid w:val="006677A2"/>
    <w:rsid w:val="006733E0"/>
    <w:rsid w:val="00676E3E"/>
    <w:rsid w:val="006808CD"/>
    <w:rsid w:val="0068190D"/>
    <w:rsid w:val="0068526E"/>
    <w:rsid w:val="00686AC8"/>
    <w:rsid w:val="00694E62"/>
    <w:rsid w:val="006A0B2B"/>
    <w:rsid w:val="006A10E8"/>
    <w:rsid w:val="006A4EDE"/>
    <w:rsid w:val="006A533B"/>
    <w:rsid w:val="006A56D9"/>
    <w:rsid w:val="006B05D9"/>
    <w:rsid w:val="006B1FCF"/>
    <w:rsid w:val="006B5325"/>
    <w:rsid w:val="006B65D2"/>
    <w:rsid w:val="006B6F1F"/>
    <w:rsid w:val="006B7B39"/>
    <w:rsid w:val="006C010C"/>
    <w:rsid w:val="006C1933"/>
    <w:rsid w:val="006C378E"/>
    <w:rsid w:val="006C45E2"/>
    <w:rsid w:val="006C68A2"/>
    <w:rsid w:val="006D09F2"/>
    <w:rsid w:val="006D0F71"/>
    <w:rsid w:val="006D3198"/>
    <w:rsid w:val="006D38D7"/>
    <w:rsid w:val="006D654D"/>
    <w:rsid w:val="006D6643"/>
    <w:rsid w:val="006D6AA6"/>
    <w:rsid w:val="006D7ABD"/>
    <w:rsid w:val="006E07FC"/>
    <w:rsid w:val="006E0EAF"/>
    <w:rsid w:val="006E126A"/>
    <w:rsid w:val="006E1BAA"/>
    <w:rsid w:val="006E214B"/>
    <w:rsid w:val="006E2C08"/>
    <w:rsid w:val="006E2F70"/>
    <w:rsid w:val="006E306F"/>
    <w:rsid w:val="006E4501"/>
    <w:rsid w:val="006E6760"/>
    <w:rsid w:val="006F0A6A"/>
    <w:rsid w:val="006F1D93"/>
    <w:rsid w:val="006F3596"/>
    <w:rsid w:val="006F5895"/>
    <w:rsid w:val="006F5D21"/>
    <w:rsid w:val="006F7C8A"/>
    <w:rsid w:val="00702A9E"/>
    <w:rsid w:val="007039E5"/>
    <w:rsid w:val="007065EC"/>
    <w:rsid w:val="007105C9"/>
    <w:rsid w:val="007117C7"/>
    <w:rsid w:val="00713E59"/>
    <w:rsid w:val="0071529A"/>
    <w:rsid w:val="00717A1D"/>
    <w:rsid w:val="00717A1E"/>
    <w:rsid w:val="00722890"/>
    <w:rsid w:val="007228E6"/>
    <w:rsid w:val="00723D32"/>
    <w:rsid w:val="00723E27"/>
    <w:rsid w:val="00730195"/>
    <w:rsid w:val="00730664"/>
    <w:rsid w:val="00730DF2"/>
    <w:rsid w:val="00733AA1"/>
    <w:rsid w:val="00735106"/>
    <w:rsid w:val="00737F93"/>
    <w:rsid w:val="007403F2"/>
    <w:rsid w:val="0074182B"/>
    <w:rsid w:val="007425F4"/>
    <w:rsid w:val="00742BDD"/>
    <w:rsid w:val="00743B19"/>
    <w:rsid w:val="00743F25"/>
    <w:rsid w:val="0074465C"/>
    <w:rsid w:val="00745AF1"/>
    <w:rsid w:val="007468D7"/>
    <w:rsid w:val="007477A9"/>
    <w:rsid w:val="007478B4"/>
    <w:rsid w:val="007506F2"/>
    <w:rsid w:val="00751400"/>
    <w:rsid w:val="00754459"/>
    <w:rsid w:val="007557CA"/>
    <w:rsid w:val="00756276"/>
    <w:rsid w:val="00756533"/>
    <w:rsid w:val="00757E93"/>
    <w:rsid w:val="00762B89"/>
    <w:rsid w:val="007660E5"/>
    <w:rsid w:val="00766ECB"/>
    <w:rsid w:val="007671C8"/>
    <w:rsid w:val="00767E8C"/>
    <w:rsid w:val="0077010C"/>
    <w:rsid w:val="00770115"/>
    <w:rsid w:val="007729B6"/>
    <w:rsid w:val="00776CEB"/>
    <w:rsid w:val="00777129"/>
    <w:rsid w:val="00777CC6"/>
    <w:rsid w:val="00777EA8"/>
    <w:rsid w:val="00781BD1"/>
    <w:rsid w:val="00781E8B"/>
    <w:rsid w:val="00782286"/>
    <w:rsid w:val="00783CDC"/>
    <w:rsid w:val="007849B2"/>
    <w:rsid w:val="00785D5A"/>
    <w:rsid w:val="00785F4D"/>
    <w:rsid w:val="00786667"/>
    <w:rsid w:val="00787E6B"/>
    <w:rsid w:val="0079005B"/>
    <w:rsid w:val="00790271"/>
    <w:rsid w:val="00792091"/>
    <w:rsid w:val="007947FC"/>
    <w:rsid w:val="007A185B"/>
    <w:rsid w:val="007A3318"/>
    <w:rsid w:val="007A4897"/>
    <w:rsid w:val="007A7B25"/>
    <w:rsid w:val="007B02EA"/>
    <w:rsid w:val="007B0598"/>
    <w:rsid w:val="007B14B8"/>
    <w:rsid w:val="007B1E37"/>
    <w:rsid w:val="007B3443"/>
    <w:rsid w:val="007B53C2"/>
    <w:rsid w:val="007B70F3"/>
    <w:rsid w:val="007B7779"/>
    <w:rsid w:val="007C09EF"/>
    <w:rsid w:val="007C0AF9"/>
    <w:rsid w:val="007C12C9"/>
    <w:rsid w:val="007C498F"/>
    <w:rsid w:val="007C4B51"/>
    <w:rsid w:val="007C4BD7"/>
    <w:rsid w:val="007C56CB"/>
    <w:rsid w:val="007D1B73"/>
    <w:rsid w:val="007D2637"/>
    <w:rsid w:val="007D2E04"/>
    <w:rsid w:val="007D3C18"/>
    <w:rsid w:val="007D69E4"/>
    <w:rsid w:val="007E35D9"/>
    <w:rsid w:val="007E3719"/>
    <w:rsid w:val="007E5510"/>
    <w:rsid w:val="007E594A"/>
    <w:rsid w:val="007E5E0E"/>
    <w:rsid w:val="007E6C09"/>
    <w:rsid w:val="007F018E"/>
    <w:rsid w:val="007F0784"/>
    <w:rsid w:val="007F1D36"/>
    <w:rsid w:val="007F3D3D"/>
    <w:rsid w:val="007F4890"/>
    <w:rsid w:val="007F55E1"/>
    <w:rsid w:val="007F5E63"/>
    <w:rsid w:val="007F780D"/>
    <w:rsid w:val="007F7A59"/>
    <w:rsid w:val="008004EF"/>
    <w:rsid w:val="008010E1"/>
    <w:rsid w:val="0080110F"/>
    <w:rsid w:val="00802444"/>
    <w:rsid w:val="00802E8C"/>
    <w:rsid w:val="00803CBC"/>
    <w:rsid w:val="00806BE7"/>
    <w:rsid w:val="00806D70"/>
    <w:rsid w:val="0080710E"/>
    <w:rsid w:val="00807482"/>
    <w:rsid w:val="00807ADF"/>
    <w:rsid w:val="008100B4"/>
    <w:rsid w:val="00810827"/>
    <w:rsid w:val="008118A6"/>
    <w:rsid w:val="0081285F"/>
    <w:rsid w:val="008152DE"/>
    <w:rsid w:val="00816C94"/>
    <w:rsid w:val="00816EF7"/>
    <w:rsid w:val="00822CB0"/>
    <w:rsid w:val="00822CE7"/>
    <w:rsid w:val="00823E10"/>
    <w:rsid w:val="008303CE"/>
    <w:rsid w:val="008305CC"/>
    <w:rsid w:val="00831659"/>
    <w:rsid w:val="00833A8B"/>
    <w:rsid w:val="00833DAC"/>
    <w:rsid w:val="00834430"/>
    <w:rsid w:val="008346B5"/>
    <w:rsid w:val="00835B55"/>
    <w:rsid w:val="008373F4"/>
    <w:rsid w:val="008419A9"/>
    <w:rsid w:val="00842AFC"/>
    <w:rsid w:val="00842DB7"/>
    <w:rsid w:val="00842F85"/>
    <w:rsid w:val="00845733"/>
    <w:rsid w:val="00845DE2"/>
    <w:rsid w:val="00846BF7"/>
    <w:rsid w:val="0085033B"/>
    <w:rsid w:val="00850FEC"/>
    <w:rsid w:val="008531DF"/>
    <w:rsid w:val="00855518"/>
    <w:rsid w:val="00856580"/>
    <w:rsid w:val="00861BE0"/>
    <w:rsid w:val="008631FA"/>
    <w:rsid w:val="00863B73"/>
    <w:rsid w:val="00863C6E"/>
    <w:rsid w:val="008674DC"/>
    <w:rsid w:val="0087057D"/>
    <w:rsid w:val="00871351"/>
    <w:rsid w:val="008724FC"/>
    <w:rsid w:val="00873803"/>
    <w:rsid w:val="00873ABB"/>
    <w:rsid w:val="0087480E"/>
    <w:rsid w:val="00874F6C"/>
    <w:rsid w:val="00876C48"/>
    <w:rsid w:val="008775C5"/>
    <w:rsid w:val="008777DC"/>
    <w:rsid w:val="00877C56"/>
    <w:rsid w:val="008808CB"/>
    <w:rsid w:val="0088187F"/>
    <w:rsid w:val="00881CA5"/>
    <w:rsid w:val="008833B3"/>
    <w:rsid w:val="008860E6"/>
    <w:rsid w:val="00886124"/>
    <w:rsid w:val="0089011F"/>
    <w:rsid w:val="00892F79"/>
    <w:rsid w:val="00893413"/>
    <w:rsid w:val="00893EF9"/>
    <w:rsid w:val="00895793"/>
    <w:rsid w:val="008A1240"/>
    <w:rsid w:val="008A1E93"/>
    <w:rsid w:val="008A336C"/>
    <w:rsid w:val="008A3A38"/>
    <w:rsid w:val="008A3A5F"/>
    <w:rsid w:val="008A5022"/>
    <w:rsid w:val="008A5B99"/>
    <w:rsid w:val="008A722D"/>
    <w:rsid w:val="008A7303"/>
    <w:rsid w:val="008B144F"/>
    <w:rsid w:val="008B22FE"/>
    <w:rsid w:val="008B3A8B"/>
    <w:rsid w:val="008B4C55"/>
    <w:rsid w:val="008B7202"/>
    <w:rsid w:val="008B75B4"/>
    <w:rsid w:val="008C03EE"/>
    <w:rsid w:val="008C073E"/>
    <w:rsid w:val="008C08F2"/>
    <w:rsid w:val="008C26A3"/>
    <w:rsid w:val="008C44E8"/>
    <w:rsid w:val="008C4E33"/>
    <w:rsid w:val="008C5239"/>
    <w:rsid w:val="008C65F0"/>
    <w:rsid w:val="008D1266"/>
    <w:rsid w:val="008D165C"/>
    <w:rsid w:val="008D1893"/>
    <w:rsid w:val="008D4471"/>
    <w:rsid w:val="008D502D"/>
    <w:rsid w:val="008D731D"/>
    <w:rsid w:val="008D77F7"/>
    <w:rsid w:val="008E0596"/>
    <w:rsid w:val="008E11B4"/>
    <w:rsid w:val="008E32C8"/>
    <w:rsid w:val="008E40DC"/>
    <w:rsid w:val="008E636D"/>
    <w:rsid w:val="008E76DA"/>
    <w:rsid w:val="008F18DC"/>
    <w:rsid w:val="008F64B9"/>
    <w:rsid w:val="008F6588"/>
    <w:rsid w:val="008F73C3"/>
    <w:rsid w:val="00900DFF"/>
    <w:rsid w:val="009030F0"/>
    <w:rsid w:val="00904B25"/>
    <w:rsid w:val="00906FA3"/>
    <w:rsid w:val="009102AD"/>
    <w:rsid w:val="00911BD9"/>
    <w:rsid w:val="00913EBA"/>
    <w:rsid w:val="00914485"/>
    <w:rsid w:val="009158B5"/>
    <w:rsid w:val="009200E8"/>
    <w:rsid w:val="009219E0"/>
    <w:rsid w:val="00922A8B"/>
    <w:rsid w:val="00925852"/>
    <w:rsid w:val="009259B7"/>
    <w:rsid w:val="009276EE"/>
    <w:rsid w:val="00933154"/>
    <w:rsid w:val="00934C39"/>
    <w:rsid w:val="00940D3F"/>
    <w:rsid w:val="009432E3"/>
    <w:rsid w:val="00943DBA"/>
    <w:rsid w:val="00944BF0"/>
    <w:rsid w:val="009462D1"/>
    <w:rsid w:val="00946C74"/>
    <w:rsid w:val="0095049A"/>
    <w:rsid w:val="00951083"/>
    <w:rsid w:val="00954187"/>
    <w:rsid w:val="00955CB6"/>
    <w:rsid w:val="00956844"/>
    <w:rsid w:val="00957678"/>
    <w:rsid w:val="0095782D"/>
    <w:rsid w:val="0096119D"/>
    <w:rsid w:val="00962A0E"/>
    <w:rsid w:val="00963461"/>
    <w:rsid w:val="00966C38"/>
    <w:rsid w:val="00970194"/>
    <w:rsid w:val="0097095D"/>
    <w:rsid w:val="0097162B"/>
    <w:rsid w:val="009759D2"/>
    <w:rsid w:val="00975D11"/>
    <w:rsid w:val="00980BE2"/>
    <w:rsid w:val="00981F79"/>
    <w:rsid w:val="0098327C"/>
    <w:rsid w:val="009840D3"/>
    <w:rsid w:val="009847D4"/>
    <w:rsid w:val="009860F6"/>
    <w:rsid w:val="00986353"/>
    <w:rsid w:val="00987007"/>
    <w:rsid w:val="00987EB5"/>
    <w:rsid w:val="0099115C"/>
    <w:rsid w:val="009937AD"/>
    <w:rsid w:val="00995E82"/>
    <w:rsid w:val="0099682D"/>
    <w:rsid w:val="009969FD"/>
    <w:rsid w:val="009A02B1"/>
    <w:rsid w:val="009A08DA"/>
    <w:rsid w:val="009A0F67"/>
    <w:rsid w:val="009A12A7"/>
    <w:rsid w:val="009A3139"/>
    <w:rsid w:val="009A604B"/>
    <w:rsid w:val="009B0CC9"/>
    <w:rsid w:val="009B1F9F"/>
    <w:rsid w:val="009B236D"/>
    <w:rsid w:val="009B241D"/>
    <w:rsid w:val="009B2C91"/>
    <w:rsid w:val="009B3210"/>
    <w:rsid w:val="009B3C47"/>
    <w:rsid w:val="009B4CC0"/>
    <w:rsid w:val="009B5230"/>
    <w:rsid w:val="009B593A"/>
    <w:rsid w:val="009B6357"/>
    <w:rsid w:val="009C2199"/>
    <w:rsid w:val="009C25BF"/>
    <w:rsid w:val="009C6E94"/>
    <w:rsid w:val="009C72FB"/>
    <w:rsid w:val="009D06D3"/>
    <w:rsid w:val="009D284C"/>
    <w:rsid w:val="009D32A7"/>
    <w:rsid w:val="009D4630"/>
    <w:rsid w:val="009D5AC6"/>
    <w:rsid w:val="009D5F33"/>
    <w:rsid w:val="009D6E82"/>
    <w:rsid w:val="009D76BC"/>
    <w:rsid w:val="009D7BED"/>
    <w:rsid w:val="009E0836"/>
    <w:rsid w:val="009E0FCB"/>
    <w:rsid w:val="009E1107"/>
    <w:rsid w:val="009E187B"/>
    <w:rsid w:val="009E33E2"/>
    <w:rsid w:val="009E3DE6"/>
    <w:rsid w:val="009E409B"/>
    <w:rsid w:val="009E48D2"/>
    <w:rsid w:val="009E5B92"/>
    <w:rsid w:val="009E7186"/>
    <w:rsid w:val="009E7EB5"/>
    <w:rsid w:val="009F1E85"/>
    <w:rsid w:val="009F2C5C"/>
    <w:rsid w:val="009F3680"/>
    <w:rsid w:val="009F3A2D"/>
    <w:rsid w:val="009F3FF3"/>
    <w:rsid w:val="009F4604"/>
    <w:rsid w:val="009F77A2"/>
    <w:rsid w:val="00A026D2"/>
    <w:rsid w:val="00A03EAB"/>
    <w:rsid w:val="00A04C0C"/>
    <w:rsid w:val="00A07A2D"/>
    <w:rsid w:val="00A12508"/>
    <w:rsid w:val="00A13DB5"/>
    <w:rsid w:val="00A20201"/>
    <w:rsid w:val="00A20825"/>
    <w:rsid w:val="00A23A4A"/>
    <w:rsid w:val="00A26A06"/>
    <w:rsid w:val="00A26E1A"/>
    <w:rsid w:val="00A27211"/>
    <w:rsid w:val="00A3060B"/>
    <w:rsid w:val="00A316F1"/>
    <w:rsid w:val="00A31C9D"/>
    <w:rsid w:val="00A32E96"/>
    <w:rsid w:val="00A32F6C"/>
    <w:rsid w:val="00A337C9"/>
    <w:rsid w:val="00A33E19"/>
    <w:rsid w:val="00A3639F"/>
    <w:rsid w:val="00A40350"/>
    <w:rsid w:val="00A40ABD"/>
    <w:rsid w:val="00A43C24"/>
    <w:rsid w:val="00A449DE"/>
    <w:rsid w:val="00A44D94"/>
    <w:rsid w:val="00A46C68"/>
    <w:rsid w:val="00A51DF5"/>
    <w:rsid w:val="00A52577"/>
    <w:rsid w:val="00A52B9B"/>
    <w:rsid w:val="00A557F2"/>
    <w:rsid w:val="00A55B41"/>
    <w:rsid w:val="00A576D6"/>
    <w:rsid w:val="00A62E75"/>
    <w:rsid w:val="00A70719"/>
    <w:rsid w:val="00A712A5"/>
    <w:rsid w:val="00A712AD"/>
    <w:rsid w:val="00A7452C"/>
    <w:rsid w:val="00A74BDB"/>
    <w:rsid w:val="00A752BA"/>
    <w:rsid w:val="00A7591A"/>
    <w:rsid w:val="00A75959"/>
    <w:rsid w:val="00A8408C"/>
    <w:rsid w:val="00A86249"/>
    <w:rsid w:val="00A879D2"/>
    <w:rsid w:val="00A87B53"/>
    <w:rsid w:val="00A90A4C"/>
    <w:rsid w:val="00A911BC"/>
    <w:rsid w:val="00A9352A"/>
    <w:rsid w:val="00A97994"/>
    <w:rsid w:val="00AA0C38"/>
    <w:rsid w:val="00AA394E"/>
    <w:rsid w:val="00AA3E84"/>
    <w:rsid w:val="00AA7AF8"/>
    <w:rsid w:val="00AB0E98"/>
    <w:rsid w:val="00AB1633"/>
    <w:rsid w:val="00AB2B34"/>
    <w:rsid w:val="00AB2D03"/>
    <w:rsid w:val="00AB3192"/>
    <w:rsid w:val="00AB4478"/>
    <w:rsid w:val="00AB5029"/>
    <w:rsid w:val="00AB5333"/>
    <w:rsid w:val="00AB54AF"/>
    <w:rsid w:val="00AB62C9"/>
    <w:rsid w:val="00AB696A"/>
    <w:rsid w:val="00AB767D"/>
    <w:rsid w:val="00AC0324"/>
    <w:rsid w:val="00AC266E"/>
    <w:rsid w:val="00AC3F7C"/>
    <w:rsid w:val="00AD2B1D"/>
    <w:rsid w:val="00AD307A"/>
    <w:rsid w:val="00AD4778"/>
    <w:rsid w:val="00AD50CC"/>
    <w:rsid w:val="00AD5BF8"/>
    <w:rsid w:val="00AD6F79"/>
    <w:rsid w:val="00AE0523"/>
    <w:rsid w:val="00AE2560"/>
    <w:rsid w:val="00AE3C95"/>
    <w:rsid w:val="00AE3DB0"/>
    <w:rsid w:val="00AE5542"/>
    <w:rsid w:val="00AE5F21"/>
    <w:rsid w:val="00AE79A5"/>
    <w:rsid w:val="00AE7D39"/>
    <w:rsid w:val="00AF348A"/>
    <w:rsid w:val="00AF3BC4"/>
    <w:rsid w:val="00AF3C0D"/>
    <w:rsid w:val="00AF55FD"/>
    <w:rsid w:val="00B00400"/>
    <w:rsid w:val="00B01CEE"/>
    <w:rsid w:val="00B02243"/>
    <w:rsid w:val="00B0338E"/>
    <w:rsid w:val="00B03B4C"/>
    <w:rsid w:val="00B04274"/>
    <w:rsid w:val="00B0608F"/>
    <w:rsid w:val="00B06DC6"/>
    <w:rsid w:val="00B07929"/>
    <w:rsid w:val="00B07CE1"/>
    <w:rsid w:val="00B07FC2"/>
    <w:rsid w:val="00B108BF"/>
    <w:rsid w:val="00B10FC3"/>
    <w:rsid w:val="00B11E65"/>
    <w:rsid w:val="00B12493"/>
    <w:rsid w:val="00B14841"/>
    <w:rsid w:val="00B15BB7"/>
    <w:rsid w:val="00B17AE7"/>
    <w:rsid w:val="00B21A7D"/>
    <w:rsid w:val="00B24B12"/>
    <w:rsid w:val="00B25113"/>
    <w:rsid w:val="00B257C9"/>
    <w:rsid w:val="00B262D8"/>
    <w:rsid w:val="00B2671D"/>
    <w:rsid w:val="00B26DEC"/>
    <w:rsid w:val="00B30D12"/>
    <w:rsid w:val="00B31251"/>
    <w:rsid w:val="00B3134F"/>
    <w:rsid w:val="00B332D8"/>
    <w:rsid w:val="00B35124"/>
    <w:rsid w:val="00B36C51"/>
    <w:rsid w:val="00B375B5"/>
    <w:rsid w:val="00B37797"/>
    <w:rsid w:val="00B3784A"/>
    <w:rsid w:val="00B4020C"/>
    <w:rsid w:val="00B4207F"/>
    <w:rsid w:val="00B42146"/>
    <w:rsid w:val="00B45DC9"/>
    <w:rsid w:val="00B50AFE"/>
    <w:rsid w:val="00B5210C"/>
    <w:rsid w:val="00B527F1"/>
    <w:rsid w:val="00B52C46"/>
    <w:rsid w:val="00B57799"/>
    <w:rsid w:val="00B606CE"/>
    <w:rsid w:val="00B62893"/>
    <w:rsid w:val="00B6412E"/>
    <w:rsid w:val="00B65645"/>
    <w:rsid w:val="00B704DD"/>
    <w:rsid w:val="00B70620"/>
    <w:rsid w:val="00B71790"/>
    <w:rsid w:val="00B7712A"/>
    <w:rsid w:val="00B81907"/>
    <w:rsid w:val="00B8277A"/>
    <w:rsid w:val="00B82C68"/>
    <w:rsid w:val="00B84289"/>
    <w:rsid w:val="00B84293"/>
    <w:rsid w:val="00B84C6F"/>
    <w:rsid w:val="00B84E65"/>
    <w:rsid w:val="00B84F28"/>
    <w:rsid w:val="00B85175"/>
    <w:rsid w:val="00B86BFD"/>
    <w:rsid w:val="00B87877"/>
    <w:rsid w:val="00B91B30"/>
    <w:rsid w:val="00B926A3"/>
    <w:rsid w:val="00B9274A"/>
    <w:rsid w:val="00B9474D"/>
    <w:rsid w:val="00B949B1"/>
    <w:rsid w:val="00B9523B"/>
    <w:rsid w:val="00B95D4A"/>
    <w:rsid w:val="00B962B3"/>
    <w:rsid w:val="00B969C5"/>
    <w:rsid w:val="00B97564"/>
    <w:rsid w:val="00BA0273"/>
    <w:rsid w:val="00BA02CF"/>
    <w:rsid w:val="00BA2045"/>
    <w:rsid w:val="00BA3EA1"/>
    <w:rsid w:val="00BA40AE"/>
    <w:rsid w:val="00BA537F"/>
    <w:rsid w:val="00BA5E9F"/>
    <w:rsid w:val="00BA6E41"/>
    <w:rsid w:val="00BA7DC9"/>
    <w:rsid w:val="00BB0D22"/>
    <w:rsid w:val="00BB0FB3"/>
    <w:rsid w:val="00BB12FC"/>
    <w:rsid w:val="00BB5FE7"/>
    <w:rsid w:val="00BB608B"/>
    <w:rsid w:val="00BB7785"/>
    <w:rsid w:val="00BC0D37"/>
    <w:rsid w:val="00BC2B9C"/>
    <w:rsid w:val="00BC4620"/>
    <w:rsid w:val="00BC53A8"/>
    <w:rsid w:val="00BC5876"/>
    <w:rsid w:val="00BC5E16"/>
    <w:rsid w:val="00BC64CC"/>
    <w:rsid w:val="00BC6882"/>
    <w:rsid w:val="00BC747E"/>
    <w:rsid w:val="00BC75A2"/>
    <w:rsid w:val="00BD17A8"/>
    <w:rsid w:val="00BD356D"/>
    <w:rsid w:val="00BD5111"/>
    <w:rsid w:val="00BD56C0"/>
    <w:rsid w:val="00BD7B02"/>
    <w:rsid w:val="00BE04C6"/>
    <w:rsid w:val="00BE5316"/>
    <w:rsid w:val="00BE6FFE"/>
    <w:rsid w:val="00BE724F"/>
    <w:rsid w:val="00BF040C"/>
    <w:rsid w:val="00BF0AB3"/>
    <w:rsid w:val="00BF0E26"/>
    <w:rsid w:val="00BF1D2A"/>
    <w:rsid w:val="00BF2CA5"/>
    <w:rsid w:val="00BF3861"/>
    <w:rsid w:val="00BF3AA1"/>
    <w:rsid w:val="00C0100F"/>
    <w:rsid w:val="00C010E1"/>
    <w:rsid w:val="00C011F5"/>
    <w:rsid w:val="00C033D6"/>
    <w:rsid w:val="00C04C80"/>
    <w:rsid w:val="00C0606D"/>
    <w:rsid w:val="00C07172"/>
    <w:rsid w:val="00C13674"/>
    <w:rsid w:val="00C16680"/>
    <w:rsid w:val="00C16896"/>
    <w:rsid w:val="00C2251F"/>
    <w:rsid w:val="00C236AB"/>
    <w:rsid w:val="00C26DD3"/>
    <w:rsid w:val="00C26F20"/>
    <w:rsid w:val="00C27045"/>
    <w:rsid w:val="00C3037A"/>
    <w:rsid w:val="00C304FF"/>
    <w:rsid w:val="00C32C9F"/>
    <w:rsid w:val="00C333F3"/>
    <w:rsid w:val="00C33491"/>
    <w:rsid w:val="00C352C3"/>
    <w:rsid w:val="00C35A63"/>
    <w:rsid w:val="00C36745"/>
    <w:rsid w:val="00C41334"/>
    <w:rsid w:val="00C44C1A"/>
    <w:rsid w:val="00C450E6"/>
    <w:rsid w:val="00C4520D"/>
    <w:rsid w:val="00C51E4F"/>
    <w:rsid w:val="00C54F68"/>
    <w:rsid w:val="00C55F94"/>
    <w:rsid w:val="00C5770E"/>
    <w:rsid w:val="00C6029A"/>
    <w:rsid w:val="00C60C84"/>
    <w:rsid w:val="00C61498"/>
    <w:rsid w:val="00C617A9"/>
    <w:rsid w:val="00C6239B"/>
    <w:rsid w:val="00C6261A"/>
    <w:rsid w:val="00C64464"/>
    <w:rsid w:val="00C652E8"/>
    <w:rsid w:val="00C66841"/>
    <w:rsid w:val="00C66A01"/>
    <w:rsid w:val="00C7216C"/>
    <w:rsid w:val="00C7370C"/>
    <w:rsid w:val="00C74156"/>
    <w:rsid w:val="00C75EB7"/>
    <w:rsid w:val="00C77F42"/>
    <w:rsid w:val="00C77FCC"/>
    <w:rsid w:val="00C809F4"/>
    <w:rsid w:val="00C82F7A"/>
    <w:rsid w:val="00C833A3"/>
    <w:rsid w:val="00C8374A"/>
    <w:rsid w:val="00C84FF2"/>
    <w:rsid w:val="00C86333"/>
    <w:rsid w:val="00C929BB"/>
    <w:rsid w:val="00C93284"/>
    <w:rsid w:val="00C93718"/>
    <w:rsid w:val="00C93BF5"/>
    <w:rsid w:val="00C94C11"/>
    <w:rsid w:val="00C95135"/>
    <w:rsid w:val="00C969B1"/>
    <w:rsid w:val="00CA19E3"/>
    <w:rsid w:val="00CA44B7"/>
    <w:rsid w:val="00CA6576"/>
    <w:rsid w:val="00CA65F7"/>
    <w:rsid w:val="00CA7610"/>
    <w:rsid w:val="00CA7B29"/>
    <w:rsid w:val="00CB036E"/>
    <w:rsid w:val="00CB1557"/>
    <w:rsid w:val="00CB2030"/>
    <w:rsid w:val="00CB319F"/>
    <w:rsid w:val="00CB5C14"/>
    <w:rsid w:val="00CB6346"/>
    <w:rsid w:val="00CB7023"/>
    <w:rsid w:val="00CC1E97"/>
    <w:rsid w:val="00CC25D4"/>
    <w:rsid w:val="00CC2C2C"/>
    <w:rsid w:val="00CC2E68"/>
    <w:rsid w:val="00CC357B"/>
    <w:rsid w:val="00CC3D89"/>
    <w:rsid w:val="00CC5947"/>
    <w:rsid w:val="00CC6F9A"/>
    <w:rsid w:val="00CD0821"/>
    <w:rsid w:val="00CD12E4"/>
    <w:rsid w:val="00CD2D06"/>
    <w:rsid w:val="00CD6A8E"/>
    <w:rsid w:val="00CD6C26"/>
    <w:rsid w:val="00CE1A28"/>
    <w:rsid w:val="00CE2599"/>
    <w:rsid w:val="00CE4E21"/>
    <w:rsid w:val="00CE566F"/>
    <w:rsid w:val="00CE5BCB"/>
    <w:rsid w:val="00CE6EDE"/>
    <w:rsid w:val="00CE70E5"/>
    <w:rsid w:val="00CE71DE"/>
    <w:rsid w:val="00CF06DA"/>
    <w:rsid w:val="00CF2856"/>
    <w:rsid w:val="00CF313A"/>
    <w:rsid w:val="00CF388D"/>
    <w:rsid w:val="00CF6B0A"/>
    <w:rsid w:val="00CF6DBB"/>
    <w:rsid w:val="00D01602"/>
    <w:rsid w:val="00D01CF8"/>
    <w:rsid w:val="00D021B2"/>
    <w:rsid w:val="00D02DC3"/>
    <w:rsid w:val="00D0547C"/>
    <w:rsid w:val="00D064C8"/>
    <w:rsid w:val="00D0660F"/>
    <w:rsid w:val="00D06AE1"/>
    <w:rsid w:val="00D06AED"/>
    <w:rsid w:val="00D06B9E"/>
    <w:rsid w:val="00D129ED"/>
    <w:rsid w:val="00D137A5"/>
    <w:rsid w:val="00D14536"/>
    <w:rsid w:val="00D15308"/>
    <w:rsid w:val="00D16200"/>
    <w:rsid w:val="00D1669E"/>
    <w:rsid w:val="00D20790"/>
    <w:rsid w:val="00D2105F"/>
    <w:rsid w:val="00D234EF"/>
    <w:rsid w:val="00D248F9"/>
    <w:rsid w:val="00D25B0C"/>
    <w:rsid w:val="00D30012"/>
    <w:rsid w:val="00D30A34"/>
    <w:rsid w:val="00D30C01"/>
    <w:rsid w:val="00D30FE5"/>
    <w:rsid w:val="00D31117"/>
    <w:rsid w:val="00D31443"/>
    <w:rsid w:val="00D31CA6"/>
    <w:rsid w:val="00D3584F"/>
    <w:rsid w:val="00D359C5"/>
    <w:rsid w:val="00D3663B"/>
    <w:rsid w:val="00D40AD9"/>
    <w:rsid w:val="00D41FC4"/>
    <w:rsid w:val="00D42FEF"/>
    <w:rsid w:val="00D43267"/>
    <w:rsid w:val="00D44C1E"/>
    <w:rsid w:val="00D44D9C"/>
    <w:rsid w:val="00D4578A"/>
    <w:rsid w:val="00D508F5"/>
    <w:rsid w:val="00D61089"/>
    <w:rsid w:val="00D62E15"/>
    <w:rsid w:val="00D6321D"/>
    <w:rsid w:val="00D6340E"/>
    <w:rsid w:val="00D6380E"/>
    <w:rsid w:val="00D65145"/>
    <w:rsid w:val="00D66171"/>
    <w:rsid w:val="00D675B3"/>
    <w:rsid w:val="00D67D2B"/>
    <w:rsid w:val="00D7146D"/>
    <w:rsid w:val="00D715B7"/>
    <w:rsid w:val="00D71E51"/>
    <w:rsid w:val="00D72416"/>
    <w:rsid w:val="00D7253E"/>
    <w:rsid w:val="00D73549"/>
    <w:rsid w:val="00D770B9"/>
    <w:rsid w:val="00D7736F"/>
    <w:rsid w:val="00D8141E"/>
    <w:rsid w:val="00D829F7"/>
    <w:rsid w:val="00D84B28"/>
    <w:rsid w:val="00D85EF7"/>
    <w:rsid w:val="00D866EC"/>
    <w:rsid w:val="00D8682C"/>
    <w:rsid w:val="00D87994"/>
    <w:rsid w:val="00D91914"/>
    <w:rsid w:val="00D944AF"/>
    <w:rsid w:val="00DA246C"/>
    <w:rsid w:val="00DA27C2"/>
    <w:rsid w:val="00DA2D15"/>
    <w:rsid w:val="00DA2DAD"/>
    <w:rsid w:val="00DA5A51"/>
    <w:rsid w:val="00DA74C6"/>
    <w:rsid w:val="00DB23A6"/>
    <w:rsid w:val="00DB2962"/>
    <w:rsid w:val="00DB2A56"/>
    <w:rsid w:val="00DB490D"/>
    <w:rsid w:val="00DB58A2"/>
    <w:rsid w:val="00DB643D"/>
    <w:rsid w:val="00DB6BF2"/>
    <w:rsid w:val="00DC0A32"/>
    <w:rsid w:val="00DC2241"/>
    <w:rsid w:val="00DC3998"/>
    <w:rsid w:val="00DC3DF2"/>
    <w:rsid w:val="00DD00A1"/>
    <w:rsid w:val="00DD3648"/>
    <w:rsid w:val="00DD37D6"/>
    <w:rsid w:val="00DD573F"/>
    <w:rsid w:val="00DE1905"/>
    <w:rsid w:val="00DE262D"/>
    <w:rsid w:val="00DE2F91"/>
    <w:rsid w:val="00DE599A"/>
    <w:rsid w:val="00DE76A0"/>
    <w:rsid w:val="00DE7D8D"/>
    <w:rsid w:val="00DF1CB0"/>
    <w:rsid w:val="00DF1DD3"/>
    <w:rsid w:val="00DF2252"/>
    <w:rsid w:val="00DF4F28"/>
    <w:rsid w:val="00DF51AD"/>
    <w:rsid w:val="00DF59DD"/>
    <w:rsid w:val="00E005C2"/>
    <w:rsid w:val="00E00D03"/>
    <w:rsid w:val="00E00DD2"/>
    <w:rsid w:val="00E0187E"/>
    <w:rsid w:val="00E03401"/>
    <w:rsid w:val="00E049F0"/>
    <w:rsid w:val="00E07B82"/>
    <w:rsid w:val="00E10837"/>
    <w:rsid w:val="00E10DB5"/>
    <w:rsid w:val="00E110CD"/>
    <w:rsid w:val="00E11BDA"/>
    <w:rsid w:val="00E1296F"/>
    <w:rsid w:val="00E129AA"/>
    <w:rsid w:val="00E12C15"/>
    <w:rsid w:val="00E13A45"/>
    <w:rsid w:val="00E152F7"/>
    <w:rsid w:val="00E16AAA"/>
    <w:rsid w:val="00E174C4"/>
    <w:rsid w:val="00E175CE"/>
    <w:rsid w:val="00E216A0"/>
    <w:rsid w:val="00E224D8"/>
    <w:rsid w:val="00E22E39"/>
    <w:rsid w:val="00E2623E"/>
    <w:rsid w:val="00E267B7"/>
    <w:rsid w:val="00E271ED"/>
    <w:rsid w:val="00E27F1C"/>
    <w:rsid w:val="00E3117A"/>
    <w:rsid w:val="00E35947"/>
    <w:rsid w:val="00E36A1C"/>
    <w:rsid w:val="00E3712F"/>
    <w:rsid w:val="00E40740"/>
    <w:rsid w:val="00E41D76"/>
    <w:rsid w:val="00E41E9E"/>
    <w:rsid w:val="00E42001"/>
    <w:rsid w:val="00E42232"/>
    <w:rsid w:val="00E428A2"/>
    <w:rsid w:val="00E44FE8"/>
    <w:rsid w:val="00E45DD9"/>
    <w:rsid w:val="00E46522"/>
    <w:rsid w:val="00E50A81"/>
    <w:rsid w:val="00E50D11"/>
    <w:rsid w:val="00E53A44"/>
    <w:rsid w:val="00E552E3"/>
    <w:rsid w:val="00E5742A"/>
    <w:rsid w:val="00E63609"/>
    <w:rsid w:val="00E63D7E"/>
    <w:rsid w:val="00E64858"/>
    <w:rsid w:val="00E6536C"/>
    <w:rsid w:val="00E70440"/>
    <w:rsid w:val="00E7083E"/>
    <w:rsid w:val="00E70D75"/>
    <w:rsid w:val="00E7242B"/>
    <w:rsid w:val="00E72981"/>
    <w:rsid w:val="00E737A1"/>
    <w:rsid w:val="00E77508"/>
    <w:rsid w:val="00E860F6"/>
    <w:rsid w:val="00E86FBA"/>
    <w:rsid w:val="00E87C7F"/>
    <w:rsid w:val="00E91D22"/>
    <w:rsid w:val="00E927EB"/>
    <w:rsid w:val="00E955E8"/>
    <w:rsid w:val="00EA25B3"/>
    <w:rsid w:val="00EA3A73"/>
    <w:rsid w:val="00EA7C8C"/>
    <w:rsid w:val="00EA7EFA"/>
    <w:rsid w:val="00EB0156"/>
    <w:rsid w:val="00EB15D9"/>
    <w:rsid w:val="00EB1D54"/>
    <w:rsid w:val="00EB30A9"/>
    <w:rsid w:val="00EB50A9"/>
    <w:rsid w:val="00EB510D"/>
    <w:rsid w:val="00EB59D1"/>
    <w:rsid w:val="00EB68DD"/>
    <w:rsid w:val="00EB7705"/>
    <w:rsid w:val="00EC0C2D"/>
    <w:rsid w:val="00EC0C5E"/>
    <w:rsid w:val="00EC2198"/>
    <w:rsid w:val="00EC2274"/>
    <w:rsid w:val="00EC3C07"/>
    <w:rsid w:val="00EC4A26"/>
    <w:rsid w:val="00EC4B42"/>
    <w:rsid w:val="00EC4C92"/>
    <w:rsid w:val="00EC5796"/>
    <w:rsid w:val="00EC6ADB"/>
    <w:rsid w:val="00EC71B4"/>
    <w:rsid w:val="00ED2424"/>
    <w:rsid w:val="00ED435A"/>
    <w:rsid w:val="00ED6BD9"/>
    <w:rsid w:val="00ED7841"/>
    <w:rsid w:val="00ED7E9E"/>
    <w:rsid w:val="00ED7ED1"/>
    <w:rsid w:val="00EE28F0"/>
    <w:rsid w:val="00EE31C7"/>
    <w:rsid w:val="00EE5B05"/>
    <w:rsid w:val="00EE5C6C"/>
    <w:rsid w:val="00EE68AC"/>
    <w:rsid w:val="00EE6B9C"/>
    <w:rsid w:val="00EE75D7"/>
    <w:rsid w:val="00EF0361"/>
    <w:rsid w:val="00EF0A96"/>
    <w:rsid w:val="00EF1ABA"/>
    <w:rsid w:val="00EF2C5E"/>
    <w:rsid w:val="00EF4431"/>
    <w:rsid w:val="00EF4651"/>
    <w:rsid w:val="00EF478F"/>
    <w:rsid w:val="00EF55A0"/>
    <w:rsid w:val="00EF6168"/>
    <w:rsid w:val="00F008E2"/>
    <w:rsid w:val="00F06868"/>
    <w:rsid w:val="00F12BA2"/>
    <w:rsid w:val="00F139CB"/>
    <w:rsid w:val="00F13EC3"/>
    <w:rsid w:val="00F1442A"/>
    <w:rsid w:val="00F14D8F"/>
    <w:rsid w:val="00F165D0"/>
    <w:rsid w:val="00F17267"/>
    <w:rsid w:val="00F175E0"/>
    <w:rsid w:val="00F17FED"/>
    <w:rsid w:val="00F204EC"/>
    <w:rsid w:val="00F21863"/>
    <w:rsid w:val="00F21D21"/>
    <w:rsid w:val="00F24049"/>
    <w:rsid w:val="00F24258"/>
    <w:rsid w:val="00F24D5E"/>
    <w:rsid w:val="00F259B1"/>
    <w:rsid w:val="00F271C9"/>
    <w:rsid w:val="00F27213"/>
    <w:rsid w:val="00F30A61"/>
    <w:rsid w:val="00F3241D"/>
    <w:rsid w:val="00F326C8"/>
    <w:rsid w:val="00F32A81"/>
    <w:rsid w:val="00F339EB"/>
    <w:rsid w:val="00F33A30"/>
    <w:rsid w:val="00F343AC"/>
    <w:rsid w:val="00F34719"/>
    <w:rsid w:val="00F353D8"/>
    <w:rsid w:val="00F40A78"/>
    <w:rsid w:val="00F424F5"/>
    <w:rsid w:val="00F4294E"/>
    <w:rsid w:val="00F42CA0"/>
    <w:rsid w:val="00F46737"/>
    <w:rsid w:val="00F53F61"/>
    <w:rsid w:val="00F569BE"/>
    <w:rsid w:val="00F575EC"/>
    <w:rsid w:val="00F64C4A"/>
    <w:rsid w:val="00F64FD8"/>
    <w:rsid w:val="00F66B3C"/>
    <w:rsid w:val="00F677C6"/>
    <w:rsid w:val="00F67CD4"/>
    <w:rsid w:val="00F70352"/>
    <w:rsid w:val="00F716C8"/>
    <w:rsid w:val="00F74AF7"/>
    <w:rsid w:val="00F74D36"/>
    <w:rsid w:val="00F755D5"/>
    <w:rsid w:val="00F7571A"/>
    <w:rsid w:val="00F76A27"/>
    <w:rsid w:val="00F846CE"/>
    <w:rsid w:val="00F8510C"/>
    <w:rsid w:val="00F86964"/>
    <w:rsid w:val="00F87264"/>
    <w:rsid w:val="00F87CDD"/>
    <w:rsid w:val="00F92E53"/>
    <w:rsid w:val="00F971B7"/>
    <w:rsid w:val="00FA1458"/>
    <w:rsid w:val="00FA23D3"/>
    <w:rsid w:val="00FA40B3"/>
    <w:rsid w:val="00FA4C95"/>
    <w:rsid w:val="00FA5380"/>
    <w:rsid w:val="00FA56C6"/>
    <w:rsid w:val="00FB0C16"/>
    <w:rsid w:val="00FB2524"/>
    <w:rsid w:val="00FB31CE"/>
    <w:rsid w:val="00FB3AB6"/>
    <w:rsid w:val="00FB3C27"/>
    <w:rsid w:val="00FB44D5"/>
    <w:rsid w:val="00FB6665"/>
    <w:rsid w:val="00FB7011"/>
    <w:rsid w:val="00FB7EB9"/>
    <w:rsid w:val="00FC10AB"/>
    <w:rsid w:val="00FC3A8F"/>
    <w:rsid w:val="00FC462D"/>
    <w:rsid w:val="00FC5631"/>
    <w:rsid w:val="00FD032B"/>
    <w:rsid w:val="00FD04BE"/>
    <w:rsid w:val="00FD15DF"/>
    <w:rsid w:val="00FD162B"/>
    <w:rsid w:val="00FD16E6"/>
    <w:rsid w:val="00FD27A6"/>
    <w:rsid w:val="00FD29AF"/>
    <w:rsid w:val="00FD2FDC"/>
    <w:rsid w:val="00FD51BA"/>
    <w:rsid w:val="00FE17B2"/>
    <w:rsid w:val="00FE4ACA"/>
    <w:rsid w:val="00FF0500"/>
    <w:rsid w:val="00FF0BB0"/>
    <w:rsid w:val="00FF1241"/>
    <w:rsid w:val="00FF16EC"/>
    <w:rsid w:val="00FF1911"/>
    <w:rsid w:val="00FF5AC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85B5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2E2AA7"/>
    <w:pPr>
      <w:spacing w:after="200" w:line="276" w:lineRule="auto"/>
    </w:pPr>
    <w:rPr>
      <w:lang w:eastAsia="en-US"/>
    </w:rPr>
  </w:style>
  <w:style w:type="paragraph" w:styleId="Heading1">
    <w:name w:val="heading 1"/>
    <w:basedOn w:val="Normal"/>
    <w:next w:val="Normal"/>
    <w:link w:val="Heading1Char"/>
    <w:uiPriority w:val="99"/>
    <w:qFormat/>
    <w:rsid w:val="000332E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332E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332E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locked/>
    <w:rsid w:val="009A60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32E8"/>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0332E8"/>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0332E8"/>
    <w:rPr>
      <w:rFonts w:ascii="Cambria" w:hAnsi="Cambria" w:cs="Times New Roman"/>
      <w:b/>
      <w:bCs/>
      <w:color w:val="4F81BD"/>
    </w:rPr>
  </w:style>
  <w:style w:type="paragraph" w:customStyle="1" w:styleId="ebook-T1">
    <w:name w:val="ebook-T1"/>
    <w:basedOn w:val="Heading1"/>
    <w:uiPriority w:val="99"/>
    <w:qFormat/>
    <w:rsid w:val="002E2AA7"/>
    <w:rPr>
      <w:rFonts w:ascii="Leelawadee" w:hAnsi="Leelawadee"/>
      <w:color w:val="76923C"/>
      <w:sz w:val="44"/>
    </w:rPr>
  </w:style>
  <w:style w:type="paragraph" w:customStyle="1" w:styleId="ebook-T2">
    <w:name w:val="ebook-T2"/>
    <w:basedOn w:val="Heading2"/>
    <w:uiPriority w:val="99"/>
    <w:qFormat/>
    <w:rsid w:val="002E2AA7"/>
    <w:rPr>
      <w:rFonts w:ascii="Leelawadee" w:hAnsi="Leelawadee"/>
      <w:color w:val="C00000"/>
      <w:sz w:val="36"/>
    </w:rPr>
  </w:style>
  <w:style w:type="paragraph" w:customStyle="1" w:styleId="ebook-T3">
    <w:name w:val="ebook-T3"/>
    <w:basedOn w:val="Heading3"/>
    <w:uiPriority w:val="99"/>
    <w:qFormat/>
    <w:rsid w:val="002E2AA7"/>
    <w:rPr>
      <w:rFonts w:ascii="Leelawadee" w:hAnsi="Leelawadee"/>
      <w:i/>
      <w:color w:val="auto"/>
      <w:sz w:val="32"/>
    </w:rPr>
  </w:style>
  <w:style w:type="paragraph" w:customStyle="1" w:styleId="ebook-par">
    <w:name w:val="ebook-par"/>
    <w:basedOn w:val="Normal"/>
    <w:uiPriority w:val="99"/>
    <w:qFormat/>
    <w:rsid w:val="002E2AA7"/>
    <w:pPr>
      <w:jc w:val="both"/>
    </w:pPr>
    <w:rPr>
      <w:rFonts w:ascii="Kozuka Mincho Pro M" w:hAnsi="Kozuka Mincho Pro M"/>
      <w:sz w:val="24"/>
    </w:rPr>
  </w:style>
  <w:style w:type="paragraph" w:styleId="TOCHeading">
    <w:name w:val="TOC Heading"/>
    <w:basedOn w:val="Heading1"/>
    <w:next w:val="Normal"/>
    <w:uiPriority w:val="99"/>
    <w:qFormat/>
    <w:rsid w:val="002E2AA7"/>
    <w:pPr>
      <w:outlineLvl w:val="9"/>
    </w:pPr>
    <w:rPr>
      <w:rFonts w:ascii="Leelawadee" w:hAnsi="Leelawadee"/>
      <w:lang w:eastAsia="es-ES"/>
    </w:rPr>
  </w:style>
  <w:style w:type="paragraph" w:styleId="TOC1">
    <w:name w:val="toc 1"/>
    <w:basedOn w:val="Normal"/>
    <w:next w:val="Normal"/>
    <w:autoRedefine/>
    <w:uiPriority w:val="39"/>
    <w:rsid w:val="007105C9"/>
    <w:pPr>
      <w:spacing w:before="120" w:after="0"/>
    </w:pPr>
    <w:rPr>
      <w:rFonts w:asciiTheme="majorHAnsi" w:hAnsiTheme="majorHAnsi"/>
      <w:b/>
      <w:color w:val="548DD4"/>
      <w:sz w:val="24"/>
      <w:szCs w:val="24"/>
    </w:rPr>
  </w:style>
  <w:style w:type="paragraph" w:styleId="TOC2">
    <w:name w:val="toc 2"/>
    <w:basedOn w:val="Normal"/>
    <w:next w:val="Normal"/>
    <w:autoRedefine/>
    <w:uiPriority w:val="39"/>
    <w:rsid w:val="000332E8"/>
    <w:pPr>
      <w:spacing w:after="0"/>
    </w:pPr>
    <w:rPr>
      <w:rFonts w:asciiTheme="minorHAnsi" w:hAnsiTheme="minorHAnsi"/>
    </w:rPr>
  </w:style>
  <w:style w:type="paragraph" w:styleId="TOC3">
    <w:name w:val="toc 3"/>
    <w:basedOn w:val="Normal"/>
    <w:next w:val="Normal"/>
    <w:autoRedefine/>
    <w:uiPriority w:val="39"/>
    <w:rsid w:val="000332E8"/>
    <w:pPr>
      <w:spacing w:after="0"/>
      <w:ind w:left="220"/>
    </w:pPr>
    <w:rPr>
      <w:rFonts w:asciiTheme="minorHAnsi" w:hAnsiTheme="minorHAnsi"/>
      <w:i/>
    </w:rPr>
  </w:style>
  <w:style w:type="character" w:styleId="Hyperlink">
    <w:name w:val="Hyperlink"/>
    <w:basedOn w:val="DefaultParagraphFont"/>
    <w:uiPriority w:val="99"/>
    <w:rsid w:val="000332E8"/>
    <w:rPr>
      <w:rFonts w:cs="Times New Roman"/>
      <w:color w:val="0000FF"/>
      <w:u w:val="single"/>
    </w:rPr>
  </w:style>
  <w:style w:type="paragraph" w:styleId="BalloonText">
    <w:name w:val="Balloon Text"/>
    <w:basedOn w:val="Normal"/>
    <w:link w:val="BalloonTextChar"/>
    <w:uiPriority w:val="99"/>
    <w:semiHidden/>
    <w:rsid w:val="00033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32E8"/>
    <w:rPr>
      <w:rFonts w:ascii="Tahoma" w:hAnsi="Tahoma" w:cs="Tahoma"/>
      <w:sz w:val="16"/>
      <w:szCs w:val="16"/>
    </w:rPr>
  </w:style>
  <w:style w:type="paragraph" w:styleId="Header">
    <w:name w:val="header"/>
    <w:basedOn w:val="Normal"/>
    <w:link w:val="HeaderChar"/>
    <w:uiPriority w:val="99"/>
    <w:rsid w:val="003923EA"/>
    <w:pPr>
      <w:tabs>
        <w:tab w:val="center" w:pos="4252"/>
        <w:tab w:val="right" w:pos="8504"/>
      </w:tabs>
    </w:pPr>
  </w:style>
  <w:style w:type="character" w:customStyle="1" w:styleId="HeaderChar">
    <w:name w:val="Header Char"/>
    <w:basedOn w:val="DefaultParagraphFont"/>
    <w:link w:val="Header"/>
    <w:uiPriority w:val="99"/>
    <w:rsid w:val="009A57D9"/>
    <w:rPr>
      <w:lang w:eastAsia="en-US"/>
    </w:rPr>
  </w:style>
  <w:style w:type="paragraph" w:styleId="Footer">
    <w:name w:val="footer"/>
    <w:basedOn w:val="Normal"/>
    <w:link w:val="FooterChar"/>
    <w:uiPriority w:val="99"/>
    <w:rsid w:val="003923EA"/>
    <w:pPr>
      <w:tabs>
        <w:tab w:val="center" w:pos="4252"/>
        <w:tab w:val="right" w:pos="8504"/>
      </w:tabs>
    </w:pPr>
  </w:style>
  <w:style w:type="character" w:customStyle="1" w:styleId="FooterChar">
    <w:name w:val="Footer Char"/>
    <w:basedOn w:val="DefaultParagraphFont"/>
    <w:link w:val="Footer"/>
    <w:uiPriority w:val="99"/>
    <w:semiHidden/>
    <w:rsid w:val="009A57D9"/>
    <w:rPr>
      <w:lang w:eastAsia="en-US"/>
    </w:rPr>
  </w:style>
  <w:style w:type="character" w:styleId="PageNumber">
    <w:name w:val="page number"/>
    <w:basedOn w:val="DefaultParagraphFont"/>
    <w:uiPriority w:val="99"/>
    <w:rsid w:val="003923EA"/>
    <w:rPr>
      <w:rFonts w:cs="Times New Roman"/>
    </w:rPr>
  </w:style>
  <w:style w:type="character" w:styleId="Emphasis">
    <w:name w:val="Emphasis"/>
    <w:basedOn w:val="DefaultParagraphFont"/>
    <w:qFormat/>
    <w:locked/>
    <w:rsid w:val="002E2AA7"/>
    <w:rPr>
      <w:i/>
      <w:iCs/>
    </w:rPr>
  </w:style>
  <w:style w:type="paragraph" w:styleId="NormalWeb">
    <w:name w:val="Normal (Web)"/>
    <w:basedOn w:val="Normal"/>
    <w:uiPriority w:val="99"/>
    <w:unhideWhenUsed/>
    <w:rsid w:val="007D69E4"/>
    <w:pPr>
      <w:spacing w:before="100" w:beforeAutospacing="1" w:after="100" w:afterAutospacing="1" w:line="240" w:lineRule="auto"/>
    </w:pPr>
    <w:rPr>
      <w:rFonts w:ascii="Times" w:eastAsiaTheme="minorEastAsia" w:hAnsi="Times"/>
      <w:sz w:val="20"/>
      <w:szCs w:val="20"/>
      <w:lang w:val="es-ES_tradnl"/>
    </w:rPr>
  </w:style>
  <w:style w:type="paragraph" w:styleId="ListParagraph">
    <w:name w:val="List Paragraph"/>
    <w:basedOn w:val="Normal"/>
    <w:uiPriority w:val="34"/>
    <w:qFormat/>
    <w:rsid w:val="007D69E4"/>
    <w:pPr>
      <w:spacing w:after="0" w:line="240" w:lineRule="auto"/>
      <w:ind w:left="720"/>
      <w:contextualSpacing/>
    </w:pPr>
    <w:rPr>
      <w:rFonts w:asciiTheme="minorHAnsi" w:eastAsiaTheme="minorEastAsia" w:hAnsiTheme="minorHAnsi" w:cstheme="minorBidi"/>
      <w:sz w:val="24"/>
      <w:szCs w:val="24"/>
      <w:lang w:val="es-ES_tradnl"/>
    </w:rPr>
  </w:style>
  <w:style w:type="paragraph" w:styleId="TOC4">
    <w:name w:val="toc 4"/>
    <w:basedOn w:val="Normal"/>
    <w:next w:val="Normal"/>
    <w:autoRedefine/>
    <w:locked/>
    <w:rsid w:val="007D69E4"/>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locked/>
    <w:rsid w:val="007D69E4"/>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locked/>
    <w:rsid w:val="007D69E4"/>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locked/>
    <w:rsid w:val="007D69E4"/>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locked/>
    <w:rsid w:val="007D69E4"/>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locked/>
    <w:rsid w:val="007D69E4"/>
    <w:pPr>
      <w:pBdr>
        <w:between w:val="double" w:sz="6" w:space="0" w:color="auto"/>
      </w:pBdr>
      <w:spacing w:after="0"/>
      <w:ind w:left="1540"/>
    </w:pPr>
    <w:rPr>
      <w:rFonts w:asciiTheme="minorHAnsi" w:hAnsiTheme="minorHAnsi"/>
      <w:sz w:val="20"/>
      <w:szCs w:val="20"/>
    </w:rPr>
  </w:style>
  <w:style w:type="table" w:styleId="TableGrid">
    <w:name w:val="Table Grid"/>
    <w:basedOn w:val="TableNormal"/>
    <w:locked/>
    <w:rsid w:val="00975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A62AD"/>
    <w:pPr>
      <w:spacing w:after="0" w:line="240" w:lineRule="auto"/>
    </w:pPr>
    <w:rPr>
      <w:sz w:val="24"/>
      <w:szCs w:val="24"/>
    </w:rPr>
  </w:style>
  <w:style w:type="character" w:customStyle="1" w:styleId="FootnoteTextChar">
    <w:name w:val="Footnote Text Char"/>
    <w:basedOn w:val="DefaultParagraphFont"/>
    <w:link w:val="FootnoteText"/>
    <w:uiPriority w:val="99"/>
    <w:rsid w:val="000A62AD"/>
    <w:rPr>
      <w:sz w:val="24"/>
      <w:szCs w:val="24"/>
      <w:lang w:eastAsia="en-US"/>
    </w:rPr>
  </w:style>
  <w:style w:type="character" w:styleId="FootnoteReference">
    <w:name w:val="footnote reference"/>
    <w:basedOn w:val="DefaultParagraphFont"/>
    <w:uiPriority w:val="99"/>
    <w:unhideWhenUsed/>
    <w:rsid w:val="000A62AD"/>
    <w:rPr>
      <w:vertAlign w:val="superscript"/>
    </w:rPr>
  </w:style>
  <w:style w:type="character" w:styleId="CommentReference">
    <w:name w:val="annotation reference"/>
    <w:basedOn w:val="DefaultParagraphFont"/>
    <w:uiPriority w:val="99"/>
    <w:semiHidden/>
    <w:unhideWhenUsed/>
    <w:rsid w:val="00101366"/>
    <w:rPr>
      <w:sz w:val="18"/>
      <w:szCs w:val="18"/>
    </w:rPr>
  </w:style>
  <w:style w:type="paragraph" w:styleId="CommentText">
    <w:name w:val="annotation text"/>
    <w:basedOn w:val="Normal"/>
    <w:link w:val="CommentTextChar"/>
    <w:uiPriority w:val="99"/>
    <w:semiHidden/>
    <w:unhideWhenUsed/>
    <w:rsid w:val="00101366"/>
    <w:pPr>
      <w:spacing w:line="240" w:lineRule="auto"/>
    </w:pPr>
    <w:rPr>
      <w:sz w:val="24"/>
      <w:szCs w:val="24"/>
    </w:rPr>
  </w:style>
  <w:style w:type="character" w:customStyle="1" w:styleId="CommentTextChar">
    <w:name w:val="Comment Text Char"/>
    <w:basedOn w:val="DefaultParagraphFont"/>
    <w:link w:val="CommentText"/>
    <w:uiPriority w:val="99"/>
    <w:semiHidden/>
    <w:rsid w:val="00101366"/>
    <w:rPr>
      <w:sz w:val="24"/>
      <w:szCs w:val="24"/>
      <w:lang w:eastAsia="en-US"/>
    </w:rPr>
  </w:style>
  <w:style w:type="paragraph" w:styleId="CommentSubject">
    <w:name w:val="annotation subject"/>
    <w:basedOn w:val="CommentText"/>
    <w:next w:val="CommentText"/>
    <w:link w:val="CommentSubjectChar"/>
    <w:uiPriority w:val="99"/>
    <w:semiHidden/>
    <w:unhideWhenUsed/>
    <w:rsid w:val="00101366"/>
    <w:rPr>
      <w:b/>
      <w:bCs/>
      <w:sz w:val="20"/>
      <w:szCs w:val="20"/>
    </w:rPr>
  </w:style>
  <w:style w:type="character" w:customStyle="1" w:styleId="CommentSubjectChar">
    <w:name w:val="Comment Subject Char"/>
    <w:basedOn w:val="CommentTextChar"/>
    <w:link w:val="CommentSubject"/>
    <w:uiPriority w:val="99"/>
    <w:semiHidden/>
    <w:rsid w:val="00101366"/>
    <w:rPr>
      <w:b/>
      <w:bCs/>
      <w:sz w:val="20"/>
      <w:szCs w:val="20"/>
      <w:lang w:eastAsia="en-US"/>
    </w:rPr>
  </w:style>
  <w:style w:type="paragraph" w:styleId="Title">
    <w:name w:val="Title"/>
    <w:basedOn w:val="Normal"/>
    <w:next w:val="Normal"/>
    <w:link w:val="TitleChar"/>
    <w:qFormat/>
    <w:locked/>
    <w:rsid w:val="006E12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E126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ps">
    <w:name w:val="hps"/>
    <w:basedOn w:val="DefaultParagraphFont"/>
    <w:rsid w:val="00666E8C"/>
  </w:style>
  <w:style w:type="paragraph" w:styleId="PlainText">
    <w:name w:val="Plain Text"/>
    <w:basedOn w:val="Normal"/>
    <w:link w:val="PlainTextChar"/>
    <w:uiPriority w:val="99"/>
    <w:unhideWhenUsed/>
    <w:rsid w:val="0019309A"/>
    <w:pPr>
      <w:spacing w:after="120" w:line="240" w:lineRule="auto"/>
    </w:pPr>
    <w:rPr>
      <w:rFonts w:ascii="Consolas" w:eastAsiaTheme="minorHAnsi" w:hAnsi="Consolas" w:cs="Consolas"/>
      <w:sz w:val="21"/>
      <w:szCs w:val="21"/>
      <w:lang w:val="es-ES_tradnl"/>
    </w:rPr>
  </w:style>
  <w:style w:type="character" w:customStyle="1" w:styleId="PlainTextChar">
    <w:name w:val="Plain Text Char"/>
    <w:basedOn w:val="DefaultParagraphFont"/>
    <w:link w:val="PlainText"/>
    <w:uiPriority w:val="99"/>
    <w:rsid w:val="0019309A"/>
    <w:rPr>
      <w:rFonts w:ascii="Consolas" w:eastAsiaTheme="minorHAnsi" w:hAnsi="Consolas" w:cs="Consolas"/>
      <w:sz w:val="21"/>
      <w:szCs w:val="21"/>
      <w:lang w:val="es-ES_tradnl" w:eastAsia="en-US"/>
    </w:rPr>
  </w:style>
  <w:style w:type="paragraph" w:styleId="TableofFigures">
    <w:name w:val="table of figures"/>
    <w:basedOn w:val="Normal"/>
    <w:next w:val="Normal"/>
    <w:uiPriority w:val="99"/>
    <w:unhideWhenUsed/>
    <w:rsid w:val="00806BE7"/>
    <w:pPr>
      <w:ind w:left="440" w:hanging="440"/>
    </w:pPr>
  </w:style>
  <w:style w:type="table" w:styleId="LightList-Accent2">
    <w:name w:val="Light List Accent 2"/>
    <w:basedOn w:val="TableNormal"/>
    <w:uiPriority w:val="61"/>
    <w:rsid w:val="00766ECB"/>
    <w:rPr>
      <w:rFonts w:asciiTheme="minorHAnsi" w:eastAsiaTheme="minorEastAsia" w:hAnsiTheme="minorHAnsi" w:cstheme="minorBidi"/>
      <w:sz w:val="24"/>
      <w:szCs w:val="24"/>
      <w:lang w:val="es-ES_tradnl"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4Char">
    <w:name w:val="Heading 4 Char"/>
    <w:basedOn w:val="DefaultParagraphFont"/>
    <w:link w:val="Heading4"/>
    <w:uiPriority w:val="9"/>
    <w:rsid w:val="009A604B"/>
    <w:rPr>
      <w:rFonts w:asciiTheme="majorHAnsi" w:eastAsiaTheme="majorEastAsia" w:hAnsiTheme="majorHAnsi" w:cstheme="majorBidi"/>
      <w:b/>
      <w:bCs/>
      <w:i/>
      <w:iCs/>
      <w:color w:val="4F81BD" w:themeColor="accent1"/>
      <w:lang w:eastAsia="en-US"/>
    </w:rPr>
  </w:style>
  <w:style w:type="paragraph" w:styleId="Revision">
    <w:name w:val="Revision"/>
    <w:hidden/>
    <w:uiPriority w:val="99"/>
    <w:semiHidden/>
    <w:rsid w:val="00A026D2"/>
    <w:rPr>
      <w:lang w:eastAsia="en-US"/>
    </w:rPr>
  </w:style>
  <w:style w:type="character" w:styleId="FollowedHyperlink">
    <w:name w:val="FollowedHyperlink"/>
    <w:basedOn w:val="DefaultParagraphFont"/>
    <w:uiPriority w:val="99"/>
    <w:semiHidden/>
    <w:unhideWhenUsed/>
    <w:rsid w:val="007A4897"/>
    <w:rPr>
      <w:color w:val="800080" w:themeColor="followedHyperlink"/>
      <w:u w:val="single"/>
    </w:rPr>
  </w:style>
  <w:style w:type="character" w:styleId="Strong">
    <w:name w:val="Strong"/>
    <w:basedOn w:val="DefaultParagraphFont"/>
    <w:uiPriority w:val="22"/>
    <w:qFormat/>
    <w:locked/>
    <w:rsid w:val="009F3A2D"/>
    <w:rPr>
      <w:b/>
      <w:bCs/>
    </w:rPr>
  </w:style>
  <w:style w:type="paragraph" w:customStyle="1" w:styleId="Default">
    <w:name w:val="Default"/>
    <w:rsid w:val="003F2124"/>
    <w:pPr>
      <w:widowControl w:val="0"/>
      <w:autoSpaceDE w:val="0"/>
      <w:autoSpaceDN w:val="0"/>
      <w:adjustRightInd w:val="0"/>
    </w:pPr>
    <w:rPr>
      <w:rFonts w:ascii="Arial" w:hAnsi="Arial" w:cs="Arial"/>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2E2AA7"/>
    <w:pPr>
      <w:spacing w:after="200" w:line="276" w:lineRule="auto"/>
    </w:pPr>
    <w:rPr>
      <w:lang w:eastAsia="en-US"/>
    </w:rPr>
  </w:style>
  <w:style w:type="paragraph" w:styleId="Heading1">
    <w:name w:val="heading 1"/>
    <w:basedOn w:val="Normal"/>
    <w:next w:val="Normal"/>
    <w:link w:val="Heading1Char"/>
    <w:uiPriority w:val="99"/>
    <w:qFormat/>
    <w:rsid w:val="000332E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0332E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332E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locked/>
    <w:rsid w:val="009A60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332E8"/>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0332E8"/>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0332E8"/>
    <w:rPr>
      <w:rFonts w:ascii="Cambria" w:hAnsi="Cambria" w:cs="Times New Roman"/>
      <w:b/>
      <w:bCs/>
      <w:color w:val="4F81BD"/>
    </w:rPr>
  </w:style>
  <w:style w:type="paragraph" w:customStyle="1" w:styleId="ebook-T1">
    <w:name w:val="ebook-T1"/>
    <w:basedOn w:val="Heading1"/>
    <w:uiPriority w:val="99"/>
    <w:qFormat/>
    <w:rsid w:val="002E2AA7"/>
    <w:rPr>
      <w:rFonts w:ascii="Leelawadee" w:hAnsi="Leelawadee"/>
      <w:color w:val="76923C"/>
      <w:sz w:val="44"/>
    </w:rPr>
  </w:style>
  <w:style w:type="paragraph" w:customStyle="1" w:styleId="ebook-T2">
    <w:name w:val="ebook-T2"/>
    <w:basedOn w:val="Heading2"/>
    <w:uiPriority w:val="99"/>
    <w:qFormat/>
    <w:rsid w:val="002E2AA7"/>
    <w:rPr>
      <w:rFonts w:ascii="Leelawadee" w:hAnsi="Leelawadee"/>
      <w:color w:val="C00000"/>
      <w:sz w:val="36"/>
    </w:rPr>
  </w:style>
  <w:style w:type="paragraph" w:customStyle="1" w:styleId="ebook-T3">
    <w:name w:val="ebook-T3"/>
    <w:basedOn w:val="Heading3"/>
    <w:uiPriority w:val="99"/>
    <w:qFormat/>
    <w:rsid w:val="002E2AA7"/>
    <w:rPr>
      <w:rFonts w:ascii="Leelawadee" w:hAnsi="Leelawadee"/>
      <w:i/>
      <w:color w:val="auto"/>
      <w:sz w:val="32"/>
    </w:rPr>
  </w:style>
  <w:style w:type="paragraph" w:customStyle="1" w:styleId="ebook-par">
    <w:name w:val="ebook-par"/>
    <w:basedOn w:val="Normal"/>
    <w:uiPriority w:val="99"/>
    <w:qFormat/>
    <w:rsid w:val="002E2AA7"/>
    <w:pPr>
      <w:jc w:val="both"/>
    </w:pPr>
    <w:rPr>
      <w:rFonts w:ascii="Kozuka Mincho Pro M" w:hAnsi="Kozuka Mincho Pro M"/>
      <w:sz w:val="24"/>
    </w:rPr>
  </w:style>
  <w:style w:type="paragraph" w:styleId="TOCHeading">
    <w:name w:val="TOC Heading"/>
    <w:basedOn w:val="Heading1"/>
    <w:next w:val="Normal"/>
    <w:uiPriority w:val="99"/>
    <w:qFormat/>
    <w:rsid w:val="002E2AA7"/>
    <w:pPr>
      <w:outlineLvl w:val="9"/>
    </w:pPr>
    <w:rPr>
      <w:rFonts w:ascii="Leelawadee" w:hAnsi="Leelawadee"/>
      <w:lang w:eastAsia="es-ES"/>
    </w:rPr>
  </w:style>
  <w:style w:type="paragraph" w:styleId="TOC1">
    <w:name w:val="toc 1"/>
    <w:basedOn w:val="Normal"/>
    <w:next w:val="Normal"/>
    <w:autoRedefine/>
    <w:uiPriority w:val="39"/>
    <w:rsid w:val="007105C9"/>
    <w:pPr>
      <w:spacing w:before="120" w:after="0"/>
    </w:pPr>
    <w:rPr>
      <w:rFonts w:asciiTheme="majorHAnsi" w:hAnsiTheme="majorHAnsi"/>
      <w:b/>
      <w:color w:val="548DD4"/>
      <w:sz w:val="24"/>
      <w:szCs w:val="24"/>
    </w:rPr>
  </w:style>
  <w:style w:type="paragraph" w:styleId="TOC2">
    <w:name w:val="toc 2"/>
    <w:basedOn w:val="Normal"/>
    <w:next w:val="Normal"/>
    <w:autoRedefine/>
    <w:uiPriority w:val="39"/>
    <w:rsid w:val="000332E8"/>
    <w:pPr>
      <w:spacing w:after="0"/>
    </w:pPr>
    <w:rPr>
      <w:rFonts w:asciiTheme="minorHAnsi" w:hAnsiTheme="minorHAnsi"/>
    </w:rPr>
  </w:style>
  <w:style w:type="paragraph" w:styleId="TOC3">
    <w:name w:val="toc 3"/>
    <w:basedOn w:val="Normal"/>
    <w:next w:val="Normal"/>
    <w:autoRedefine/>
    <w:uiPriority w:val="39"/>
    <w:rsid w:val="000332E8"/>
    <w:pPr>
      <w:spacing w:after="0"/>
      <w:ind w:left="220"/>
    </w:pPr>
    <w:rPr>
      <w:rFonts w:asciiTheme="minorHAnsi" w:hAnsiTheme="minorHAnsi"/>
      <w:i/>
    </w:rPr>
  </w:style>
  <w:style w:type="character" w:styleId="Hyperlink">
    <w:name w:val="Hyperlink"/>
    <w:basedOn w:val="DefaultParagraphFont"/>
    <w:uiPriority w:val="99"/>
    <w:rsid w:val="000332E8"/>
    <w:rPr>
      <w:rFonts w:cs="Times New Roman"/>
      <w:color w:val="0000FF"/>
      <w:u w:val="single"/>
    </w:rPr>
  </w:style>
  <w:style w:type="paragraph" w:styleId="BalloonText">
    <w:name w:val="Balloon Text"/>
    <w:basedOn w:val="Normal"/>
    <w:link w:val="BalloonTextChar"/>
    <w:uiPriority w:val="99"/>
    <w:semiHidden/>
    <w:rsid w:val="00033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32E8"/>
    <w:rPr>
      <w:rFonts w:ascii="Tahoma" w:hAnsi="Tahoma" w:cs="Tahoma"/>
      <w:sz w:val="16"/>
      <w:szCs w:val="16"/>
    </w:rPr>
  </w:style>
  <w:style w:type="paragraph" w:styleId="Header">
    <w:name w:val="header"/>
    <w:basedOn w:val="Normal"/>
    <w:link w:val="HeaderChar"/>
    <w:uiPriority w:val="99"/>
    <w:rsid w:val="003923EA"/>
    <w:pPr>
      <w:tabs>
        <w:tab w:val="center" w:pos="4252"/>
        <w:tab w:val="right" w:pos="8504"/>
      </w:tabs>
    </w:pPr>
  </w:style>
  <w:style w:type="character" w:customStyle="1" w:styleId="HeaderChar">
    <w:name w:val="Header Char"/>
    <w:basedOn w:val="DefaultParagraphFont"/>
    <w:link w:val="Header"/>
    <w:uiPriority w:val="99"/>
    <w:rsid w:val="009A57D9"/>
    <w:rPr>
      <w:lang w:eastAsia="en-US"/>
    </w:rPr>
  </w:style>
  <w:style w:type="paragraph" w:styleId="Footer">
    <w:name w:val="footer"/>
    <w:basedOn w:val="Normal"/>
    <w:link w:val="FooterChar"/>
    <w:uiPriority w:val="99"/>
    <w:rsid w:val="003923EA"/>
    <w:pPr>
      <w:tabs>
        <w:tab w:val="center" w:pos="4252"/>
        <w:tab w:val="right" w:pos="8504"/>
      </w:tabs>
    </w:pPr>
  </w:style>
  <w:style w:type="character" w:customStyle="1" w:styleId="FooterChar">
    <w:name w:val="Footer Char"/>
    <w:basedOn w:val="DefaultParagraphFont"/>
    <w:link w:val="Footer"/>
    <w:uiPriority w:val="99"/>
    <w:semiHidden/>
    <w:rsid w:val="009A57D9"/>
    <w:rPr>
      <w:lang w:eastAsia="en-US"/>
    </w:rPr>
  </w:style>
  <w:style w:type="character" w:styleId="PageNumber">
    <w:name w:val="page number"/>
    <w:basedOn w:val="DefaultParagraphFont"/>
    <w:uiPriority w:val="99"/>
    <w:rsid w:val="003923EA"/>
    <w:rPr>
      <w:rFonts w:cs="Times New Roman"/>
    </w:rPr>
  </w:style>
  <w:style w:type="character" w:styleId="Emphasis">
    <w:name w:val="Emphasis"/>
    <w:basedOn w:val="DefaultParagraphFont"/>
    <w:qFormat/>
    <w:locked/>
    <w:rsid w:val="002E2AA7"/>
    <w:rPr>
      <w:i/>
      <w:iCs/>
    </w:rPr>
  </w:style>
  <w:style w:type="paragraph" w:styleId="NormalWeb">
    <w:name w:val="Normal (Web)"/>
    <w:basedOn w:val="Normal"/>
    <w:uiPriority w:val="99"/>
    <w:unhideWhenUsed/>
    <w:rsid w:val="007D69E4"/>
    <w:pPr>
      <w:spacing w:before="100" w:beforeAutospacing="1" w:after="100" w:afterAutospacing="1" w:line="240" w:lineRule="auto"/>
    </w:pPr>
    <w:rPr>
      <w:rFonts w:ascii="Times" w:eastAsiaTheme="minorEastAsia" w:hAnsi="Times"/>
      <w:sz w:val="20"/>
      <w:szCs w:val="20"/>
      <w:lang w:val="es-ES_tradnl"/>
    </w:rPr>
  </w:style>
  <w:style w:type="paragraph" w:styleId="ListParagraph">
    <w:name w:val="List Paragraph"/>
    <w:basedOn w:val="Normal"/>
    <w:uiPriority w:val="34"/>
    <w:qFormat/>
    <w:rsid w:val="007D69E4"/>
    <w:pPr>
      <w:spacing w:after="0" w:line="240" w:lineRule="auto"/>
      <w:ind w:left="720"/>
      <w:contextualSpacing/>
    </w:pPr>
    <w:rPr>
      <w:rFonts w:asciiTheme="minorHAnsi" w:eastAsiaTheme="minorEastAsia" w:hAnsiTheme="minorHAnsi" w:cstheme="minorBidi"/>
      <w:sz w:val="24"/>
      <w:szCs w:val="24"/>
      <w:lang w:val="es-ES_tradnl"/>
    </w:rPr>
  </w:style>
  <w:style w:type="paragraph" w:styleId="TOC4">
    <w:name w:val="toc 4"/>
    <w:basedOn w:val="Normal"/>
    <w:next w:val="Normal"/>
    <w:autoRedefine/>
    <w:locked/>
    <w:rsid w:val="007D69E4"/>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locked/>
    <w:rsid w:val="007D69E4"/>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locked/>
    <w:rsid w:val="007D69E4"/>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locked/>
    <w:rsid w:val="007D69E4"/>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locked/>
    <w:rsid w:val="007D69E4"/>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locked/>
    <w:rsid w:val="007D69E4"/>
    <w:pPr>
      <w:pBdr>
        <w:between w:val="double" w:sz="6" w:space="0" w:color="auto"/>
      </w:pBdr>
      <w:spacing w:after="0"/>
      <w:ind w:left="1540"/>
    </w:pPr>
    <w:rPr>
      <w:rFonts w:asciiTheme="minorHAnsi" w:hAnsiTheme="minorHAnsi"/>
      <w:sz w:val="20"/>
      <w:szCs w:val="20"/>
    </w:rPr>
  </w:style>
  <w:style w:type="table" w:styleId="TableGrid">
    <w:name w:val="Table Grid"/>
    <w:basedOn w:val="TableNormal"/>
    <w:locked/>
    <w:rsid w:val="00975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A62AD"/>
    <w:pPr>
      <w:spacing w:after="0" w:line="240" w:lineRule="auto"/>
    </w:pPr>
    <w:rPr>
      <w:sz w:val="24"/>
      <w:szCs w:val="24"/>
    </w:rPr>
  </w:style>
  <w:style w:type="character" w:customStyle="1" w:styleId="FootnoteTextChar">
    <w:name w:val="Footnote Text Char"/>
    <w:basedOn w:val="DefaultParagraphFont"/>
    <w:link w:val="FootnoteText"/>
    <w:uiPriority w:val="99"/>
    <w:rsid w:val="000A62AD"/>
    <w:rPr>
      <w:sz w:val="24"/>
      <w:szCs w:val="24"/>
      <w:lang w:eastAsia="en-US"/>
    </w:rPr>
  </w:style>
  <w:style w:type="character" w:styleId="FootnoteReference">
    <w:name w:val="footnote reference"/>
    <w:basedOn w:val="DefaultParagraphFont"/>
    <w:uiPriority w:val="99"/>
    <w:unhideWhenUsed/>
    <w:rsid w:val="000A62AD"/>
    <w:rPr>
      <w:vertAlign w:val="superscript"/>
    </w:rPr>
  </w:style>
  <w:style w:type="character" w:styleId="CommentReference">
    <w:name w:val="annotation reference"/>
    <w:basedOn w:val="DefaultParagraphFont"/>
    <w:uiPriority w:val="99"/>
    <w:semiHidden/>
    <w:unhideWhenUsed/>
    <w:rsid w:val="00101366"/>
    <w:rPr>
      <w:sz w:val="18"/>
      <w:szCs w:val="18"/>
    </w:rPr>
  </w:style>
  <w:style w:type="paragraph" w:styleId="CommentText">
    <w:name w:val="annotation text"/>
    <w:basedOn w:val="Normal"/>
    <w:link w:val="CommentTextChar"/>
    <w:uiPriority w:val="99"/>
    <w:semiHidden/>
    <w:unhideWhenUsed/>
    <w:rsid w:val="00101366"/>
    <w:pPr>
      <w:spacing w:line="240" w:lineRule="auto"/>
    </w:pPr>
    <w:rPr>
      <w:sz w:val="24"/>
      <w:szCs w:val="24"/>
    </w:rPr>
  </w:style>
  <w:style w:type="character" w:customStyle="1" w:styleId="CommentTextChar">
    <w:name w:val="Comment Text Char"/>
    <w:basedOn w:val="DefaultParagraphFont"/>
    <w:link w:val="CommentText"/>
    <w:uiPriority w:val="99"/>
    <w:semiHidden/>
    <w:rsid w:val="00101366"/>
    <w:rPr>
      <w:sz w:val="24"/>
      <w:szCs w:val="24"/>
      <w:lang w:eastAsia="en-US"/>
    </w:rPr>
  </w:style>
  <w:style w:type="paragraph" w:styleId="CommentSubject">
    <w:name w:val="annotation subject"/>
    <w:basedOn w:val="CommentText"/>
    <w:next w:val="CommentText"/>
    <w:link w:val="CommentSubjectChar"/>
    <w:uiPriority w:val="99"/>
    <w:semiHidden/>
    <w:unhideWhenUsed/>
    <w:rsid w:val="00101366"/>
    <w:rPr>
      <w:b/>
      <w:bCs/>
      <w:sz w:val="20"/>
      <w:szCs w:val="20"/>
    </w:rPr>
  </w:style>
  <w:style w:type="character" w:customStyle="1" w:styleId="CommentSubjectChar">
    <w:name w:val="Comment Subject Char"/>
    <w:basedOn w:val="CommentTextChar"/>
    <w:link w:val="CommentSubject"/>
    <w:uiPriority w:val="99"/>
    <w:semiHidden/>
    <w:rsid w:val="00101366"/>
    <w:rPr>
      <w:b/>
      <w:bCs/>
      <w:sz w:val="20"/>
      <w:szCs w:val="20"/>
      <w:lang w:eastAsia="en-US"/>
    </w:rPr>
  </w:style>
  <w:style w:type="paragraph" w:styleId="Title">
    <w:name w:val="Title"/>
    <w:basedOn w:val="Normal"/>
    <w:next w:val="Normal"/>
    <w:link w:val="TitleChar"/>
    <w:qFormat/>
    <w:locked/>
    <w:rsid w:val="006E12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E126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ps">
    <w:name w:val="hps"/>
    <w:basedOn w:val="DefaultParagraphFont"/>
    <w:rsid w:val="00666E8C"/>
  </w:style>
  <w:style w:type="paragraph" w:styleId="PlainText">
    <w:name w:val="Plain Text"/>
    <w:basedOn w:val="Normal"/>
    <w:link w:val="PlainTextChar"/>
    <w:uiPriority w:val="99"/>
    <w:unhideWhenUsed/>
    <w:rsid w:val="0019309A"/>
    <w:pPr>
      <w:spacing w:after="120" w:line="240" w:lineRule="auto"/>
    </w:pPr>
    <w:rPr>
      <w:rFonts w:ascii="Consolas" w:eastAsiaTheme="minorHAnsi" w:hAnsi="Consolas" w:cs="Consolas"/>
      <w:sz w:val="21"/>
      <w:szCs w:val="21"/>
      <w:lang w:val="es-ES_tradnl"/>
    </w:rPr>
  </w:style>
  <w:style w:type="character" w:customStyle="1" w:styleId="PlainTextChar">
    <w:name w:val="Plain Text Char"/>
    <w:basedOn w:val="DefaultParagraphFont"/>
    <w:link w:val="PlainText"/>
    <w:uiPriority w:val="99"/>
    <w:rsid w:val="0019309A"/>
    <w:rPr>
      <w:rFonts w:ascii="Consolas" w:eastAsiaTheme="minorHAnsi" w:hAnsi="Consolas" w:cs="Consolas"/>
      <w:sz w:val="21"/>
      <w:szCs w:val="21"/>
      <w:lang w:val="es-ES_tradnl" w:eastAsia="en-US"/>
    </w:rPr>
  </w:style>
  <w:style w:type="paragraph" w:styleId="TableofFigures">
    <w:name w:val="table of figures"/>
    <w:basedOn w:val="Normal"/>
    <w:next w:val="Normal"/>
    <w:uiPriority w:val="99"/>
    <w:unhideWhenUsed/>
    <w:rsid w:val="00806BE7"/>
    <w:pPr>
      <w:ind w:left="440" w:hanging="440"/>
    </w:pPr>
  </w:style>
  <w:style w:type="table" w:styleId="LightList-Accent2">
    <w:name w:val="Light List Accent 2"/>
    <w:basedOn w:val="TableNormal"/>
    <w:uiPriority w:val="61"/>
    <w:rsid w:val="00766ECB"/>
    <w:rPr>
      <w:rFonts w:asciiTheme="minorHAnsi" w:eastAsiaTheme="minorEastAsia" w:hAnsiTheme="minorHAnsi" w:cstheme="minorBidi"/>
      <w:sz w:val="24"/>
      <w:szCs w:val="24"/>
      <w:lang w:val="es-ES_tradnl"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4Char">
    <w:name w:val="Heading 4 Char"/>
    <w:basedOn w:val="DefaultParagraphFont"/>
    <w:link w:val="Heading4"/>
    <w:uiPriority w:val="9"/>
    <w:rsid w:val="009A604B"/>
    <w:rPr>
      <w:rFonts w:asciiTheme="majorHAnsi" w:eastAsiaTheme="majorEastAsia" w:hAnsiTheme="majorHAnsi" w:cstheme="majorBidi"/>
      <w:b/>
      <w:bCs/>
      <w:i/>
      <w:iCs/>
      <w:color w:val="4F81BD" w:themeColor="accent1"/>
      <w:lang w:eastAsia="en-US"/>
    </w:rPr>
  </w:style>
  <w:style w:type="paragraph" w:styleId="Revision">
    <w:name w:val="Revision"/>
    <w:hidden/>
    <w:uiPriority w:val="99"/>
    <w:semiHidden/>
    <w:rsid w:val="00A026D2"/>
    <w:rPr>
      <w:lang w:eastAsia="en-US"/>
    </w:rPr>
  </w:style>
  <w:style w:type="character" w:styleId="FollowedHyperlink">
    <w:name w:val="FollowedHyperlink"/>
    <w:basedOn w:val="DefaultParagraphFont"/>
    <w:uiPriority w:val="99"/>
    <w:semiHidden/>
    <w:unhideWhenUsed/>
    <w:rsid w:val="007A4897"/>
    <w:rPr>
      <w:color w:val="800080" w:themeColor="followedHyperlink"/>
      <w:u w:val="single"/>
    </w:rPr>
  </w:style>
  <w:style w:type="character" w:styleId="Strong">
    <w:name w:val="Strong"/>
    <w:basedOn w:val="DefaultParagraphFont"/>
    <w:uiPriority w:val="22"/>
    <w:qFormat/>
    <w:locked/>
    <w:rsid w:val="009F3A2D"/>
    <w:rPr>
      <w:b/>
      <w:bCs/>
    </w:rPr>
  </w:style>
  <w:style w:type="paragraph" w:customStyle="1" w:styleId="Default">
    <w:name w:val="Default"/>
    <w:rsid w:val="003F2124"/>
    <w:pPr>
      <w:widowControl w:val="0"/>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69994">
      <w:bodyDiv w:val="1"/>
      <w:marLeft w:val="0"/>
      <w:marRight w:val="0"/>
      <w:marTop w:val="0"/>
      <w:marBottom w:val="0"/>
      <w:divBdr>
        <w:top w:val="none" w:sz="0" w:space="0" w:color="auto"/>
        <w:left w:val="none" w:sz="0" w:space="0" w:color="auto"/>
        <w:bottom w:val="none" w:sz="0" w:space="0" w:color="auto"/>
        <w:right w:val="none" w:sz="0" w:space="0" w:color="auto"/>
      </w:divBdr>
      <w:divsChild>
        <w:div w:id="1704548939">
          <w:marLeft w:val="0"/>
          <w:marRight w:val="0"/>
          <w:marTop w:val="0"/>
          <w:marBottom w:val="0"/>
          <w:divBdr>
            <w:top w:val="none" w:sz="0" w:space="0" w:color="auto"/>
            <w:left w:val="none" w:sz="0" w:space="0" w:color="auto"/>
            <w:bottom w:val="none" w:sz="0" w:space="0" w:color="auto"/>
            <w:right w:val="none" w:sz="0" w:space="0" w:color="auto"/>
          </w:divBdr>
          <w:divsChild>
            <w:div w:id="1011570793">
              <w:marLeft w:val="0"/>
              <w:marRight w:val="0"/>
              <w:marTop w:val="0"/>
              <w:marBottom w:val="0"/>
              <w:divBdr>
                <w:top w:val="none" w:sz="0" w:space="0" w:color="auto"/>
                <w:left w:val="none" w:sz="0" w:space="0" w:color="auto"/>
                <w:bottom w:val="none" w:sz="0" w:space="0" w:color="auto"/>
                <w:right w:val="none" w:sz="0" w:space="0" w:color="auto"/>
              </w:divBdr>
              <w:divsChild>
                <w:div w:id="1726098817">
                  <w:marLeft w:val="0"/>
                  <w:marRight w:val="0"/>
                  <w:marTop w:val="0"/>
                  <w:marBottom w:val="0"/>
                  <w:divBdr>
                    <w:top w:val="none" w:sz="0" w:space="0" w:color="auto"/>
                    <w:left w:val="none" w:sz="0" w:space="0" w:color="auto"/>
                    <w:bottom w:val="none" w:sz="0" w:space="0" w:color="auto"/>
                    <w:right w:val="none" w:sz="0" w:space="0" w:color="auto"/>
                  </w:divBdr>
                  <w:divsChild>
                    <w:div w:id="918060263">
                      <w:marLeft w:val="0"/>
                      <w:marRight w:val="0"/>
                      <w:marTop w:val="0"/>
                      <w:marBottom w:val="0"/>
                      <w:divBdr>
                        <w:top w:val="none" w:sz="0" w:space="0" w:color="auto"/>
                        <w:left w:val="none" w:sz="0" w:space="0" w:color="auto"/>
                        <w:bottom w:val="none" w:sz="0" w:space="0" w:color="auto"/>
                        <w:right w:val="none" w:sz="0" w:space="0" w:color="auto"/>
                      </w:divBdr>
                      <w:divsChild>
                        <w:div w:id="1672373023">
                          <w:marLeft w:val="-15"/>
                          <w:marRight w:val="0"/>
                          <w:marTop w:val="0"/>
                          <w:marBottom w:val="0"/>
                          <w:divBdr>
                            <w:top w:val="none" w:sz="0" w:space="0" w:color="auto"/>
                            <w:left w:val="none" w:sz="0" w:space="0" w:color="auto"/>
                            <w:bottom w:val="none" w:sz="0" w:space="0" w:color="auto"/>
                            <w:right w:val="none" w:sz="0" w:space="0" w:color="auto"/>
                          </w:divBdr>
                          <w:divsChild>
                            <w:div w:id="1691102801">
                              <w:marLeft w:val="0"/>
                              <w:marRight w:val="0"/>
                              <w:marTop w:val="0"/>
                              <w:marBottom w:val="0"/>
                              <w:divBdr>
                                <w:top w:val="none" w:sz="0" w:space="0" w:color="auto"/>
                                <w:left w:val="none" w:sz="0" w:space="0" w:color="auto"/>
                                <w:bottom w:val="none" w:sz="0" w:space="0" w:color="auto"/>
                                <w:right w:val="none" w:sz="0" w:space="0" w:color="auto"/>
                              </w:divBdr>
                              <w:divsChild>
                                <w:div w:id="161236572">
                                  <w:marLeft w:val="0"/>
                                  <w:marRight w:val="-15"/>
                                  <w:marTop w:val="0"/>
                                  <w:marBottom w:val="0"/>
                                  <w:divBdr>
                                    <w:top w:val="none" w:sz="0" w:space="0" w:color="auto"/>
                                    <w:left w:val="none" w:sz="0" w:space="0" w:color="auto"/>
                                    <w:bottom w:val="none" w:sz="0" w:space="0" w:color="auto"/>
                                    <w:right w:val="none" w:sz="0" w:space="0" w:color="auto"/>
                                  </w:divBdr>
                                  <w:divsChild>
                                    <w:div w:id="2014801040">
                                      <w:marLeft w:val="0"/>
                                      <w:marRight w:val="0"/>
                                      <w:marTop w:val="0"/>
                                      <w:marBottom w:val="0"/>
                                      <w:divBdr>
                                        <w:top w:val="none" w:sz="0" w:space="0" w:color="auto"/>
                                        <w:left w:val="none" w:sz="0" w:space="0" w:color="auto"/>
                                        <w:bottom w:val="none" w:sz="0" w:space="0" w:color="auto"/>
                                        <w:right w:val="none" w:sz="0" w:space="0" w:color="auto"/>
                                      </w:divBdr>
                                      <w:divsChild>
                                        <w:div w:id="1984313594">
                                          <w:marLeft w:val="-270"/>
                                          <w:marRight w:val="0"/>
                                          <w:marTop w:val="0"/>
                                          <w:marBottom w:val="0"/>
                                          <w:divBdr>
                                            <w:top w:val="none" w:sz="0" w:space="0" w:color="auto"/>
                                            <w:left w:val="none" w:sz="0" w:space="0" w:color="auto"/>
                                            <w:bottom w:val="none" w:sz="0" w:space="0" w:color="auto"/>
                                            <w:right w:val="none" w:sz="0" w:space="0" w:color="auto"/>
                                          </w:divBdr>
                                          <w:divsChild>
                                            <w:div w:id="358242770">
                                              <w:marLeft w:val="0"/>
                                              <w:marRight w:val="0"/>
                                              <w:marTop w:val="0"/>
                                              <w:marBottom w:val="0"/>
                                              <w:divBdr>
                                                <w:top w:val="none" w:sz="0" w:space="0" w:color="auto"/>
                                                <w:left w:val="none" w:sz="0" w:space="0" w:color="auto"/>
                                                <w:bottom w:val="none" w:sz="0" w:space="0" w:color="auto"/>
                                                <w:right w:val="none" w:sz="0" w:space="0" w:color="auto"/>
                                              </w:divBdr>
                                              <w:divsChild>
                                                <w:div w:id="651907138">
                                                  <w:marLeft w:val="0"/>
                                                  <w:marRight w:val="0"/>
                                                  <w:marTop w:val="0"/>
                                                  <w:marBottom w:val="0"/>
                                                  <w:divBdr>
                                                    <w:top w:val="none" w:sz="0" w:space="0" w:color="auto"/>
                                                    <w:left w:val="none" w:sz="0" w:space="0" w:color="auto"/>
                                                    <w:bottom w:val="none" w:sz="0" w:space="0" w:color="auto"/>
                                                    <w:right w:val="none" w:sz="0" w:space="0" w:color="auto"/>
                                                  </w:divBdr>
                                                  <w:divsChild>
                                                    <w:div w:id="641350231">
                                                      <w:marLeft w:val="900"/>
                                                      <w:marRight w:val="0"/>
                                                      <w:marTop w:val="0"/>
                                                      <w:marBottom w:val="0"/>
                                                      <w:divBdr>
                                                        <w:top w:val="none" w:sz="0" w:space="0" w:color="auto"/>
                                                        <w:left w:val="none" w:sz="0" w:space="0" w:color="auto"/>
                                                        <w:bottom w:val="none" w:sz="0" w:space="0" w:color="auto"/>
                                                        <w:right w:val="none" w:sz="0" w:space="0" w:color="auto"/>
                                                      </w:divBdr>
                                                      <w:divsChild>
                                                        <w:div w:id="5200525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46224">
      <w:bodyDiv w:val="1"/>
      <w:marLeft w:val="0"/>
      <w:marRight w:val="0"/>
      <w:marTop w:val="0"/>
      <w:marBottom w:val="0"/>
      <w:divBdr>
        <w:top w:val="none" w:sz="0" w:space="0" w:color="auto"/>
        <w:left w:val="none" w:sz="0" w:space="0" w:color="auto"/>
        <w:bottom w:val="none" w:sz="0" w:space="0" w:color="auto"/>
        <w:right w:val="none" w:sz="0" w:space="0" w:color="auto"/>
      </w:divBdr>
    </w:div>
    <w:div w:id="716010146">
      <w:bodyDiv w:val="1"/>
      <w:marLeft w:val="0"/>
      <w:marRight w:val="0"/>
      <w:marTop w:val="0"/>
      <w:marBottom w:val="0"/>
      <w:divBdr>
        <w:top w:val="none" w:sz="0" w:space="0" w:color="auto"/>
        <w:left w:val="none" w:sz="0" w:space="0" w:color="auto"/>
        <w:bottom w:val="none" w:sz="0" w:space="0" w:color="auto"/>
        <w:right w:val="none" w:sz="0" w:space="0" w:color="auto"/>
      </w:divBdr>
    </w:div>
    <w:div w:id="744186707">
      <w:bodyDiv w:val="1"/>
      <w:marLeft w:val="0"/>
      <w:marRight w:val="0"/>
      <w:marTop w:val="0"/>
      <w:marBottom w:val="0"/>
      <w:divBdr>
        <w:top w:val="none" w:sz="0" w:space="0" w:color="auto"/>
        <w:left w:val="none" w:sz="0" w:space="0" w:color="auto"/>
        <w:bottom w:val="none" w:sz="0" w:space="0" w:color="auto"/>
        <w:right w:val="none" w:sz="0" w:space="0" w:color="auto"/>
      </w:divBdr>
      <w:divsChild>
        <w:div w:id="555312593">
          <w:marLeft w:val="0"/>
          <w:marRight w:val="0"/>
          <w:marTop w:val="100"/>
          <w:marBottom w:val="100"/>
          <w:divBdr>
            <w:top w:val="none" w:sz="0" w:space="0" w:color="auto"/>
            <w:left w:val="none" w:sz="0" w:space="0" w:color="auto"/>
            <w:bottom w:val="none" w:sz="0" w:space="0" w:color="auto"/>
            <w:right w:val="none" w:sz="0" w:space="0" w:color="auto"/>
          </w:divBdr>
          <w:divsChild>
            <w:div w:id="310060292">
              <w:marLeft w:val="0"/>
              <w:marRight w:val="0"/>
              <w:marTop w:val="0"/>
              <w:marBottom w:val="100"/>
              <w:divBdr>
                <w:top w:val="none" w:sz="0" w:space="0" w:color="auto"/>
                <w:left w:val="none" w:sz="0" w:space="0" w:color="auto"/>
                <w:bottom w:val="none" w:sz="0" w:space="0" w:color="auto"/>
                <w:right w:val="none" w:sz="0" w:space="0" w:color="auto"/>
              </w:divBdr>
              <w:divsChild>
                <w:div w:id="529683399">
                  <w:marLeft w:val="0"/>
                  <w:marRight w:val="0"/>
                  <w:marTop w:val="100"/>
                  <w:marBottom w:val="100"/>
                  <w:divBdr>
                    <w:top w:val="none" w:sz="0" w:space="0" w:color="auto"/>
                    <w:left w:val="none" w:sz="0" w:space="0" w:color="auto"/>
                    <w:bottom w:val="none" w:sz="0" w:space="0" w:color="auto"/>
                    <w:right w:val="none" w:sz="0" w:space="0" w:color="auto"/>
                  </w:divBdr>
                  <w:divsChild>
                    <w:div w:id="1477987164">
                      <w:marLeft w:val="0"/>
                      <w:marRight w:val="0"/>
                      <w:marTop w:val="0"/>
                      <w:marBottom w:val="0"/>
                      <w:divBdr>
                        <w:top w:val="none" w:sz="0" w:space="0" w:color="auto"/>
                        <w:left w:val="none" w:sz="0" w:space="0" w:color="auto"/>
                        <w:bottom w:val="none" w:sz="0" w:space="0" w:color="auto"/>
                        <w:right w:val="none" w:sz="0" w:space="0" w:color="auto"/>
                      </w:divBdr>
                      <w:divsChild>
                        <w:div w:id="1715275158">
                          <w:marLeft w:val="0"/>
                          <w:marRight w:val="0"/>
                          <w:marTop w:val="0"/>
                          <w:marBottom w:val="0"/>
                          <w:divBdr>
                            <w:top w:val="none" w:sz="0" w:space="0" w:color="auto"/>
                            <w:left w:val="none" w:sz="0" w:space="0" w:color="auto"/>
                            <w:bottom w:val="none" w:sz="0" w:space="0" w:color="auto"/>
                            <w:right w:val="none" w:sz="0" w:space="0" w:color="auto"/>
                          </w:divBdr>
                          <w:divsChild>
                            <w:div w:id="374739261">
                              <w:marLeft w:val="0"/>
                              <w:marRight w:val="0"/>
                              <w:marTop w:val="0"/>
                              <w:marBottom w:val="0"/>
                              <w:divBdr>
                                <w:top w:val="none" w:sz="0" w:space="0" w:color="auto"/>
                                <w:left w:val="none" w:sz="0" w:space="0" w:color="auto"/>
                                <w:bottom w:val="none" w:sz="0" w:space="0" w:color="auto"/>
                                <w:right w:val="none" w:sz="0" w:space="0" w:color="auto"/>
                              </w:divBdr>
                              <w:divsChild>
                                <w:div w:id="1937980050">
                                  <w:marLeft w:val="0"/>
                                  <w:marRight w:val="0"/>
                                  <w:marTop w:val="0"/>
                                  <w:marBottom w:val="225"/>
                                  <w:divBdr>
                                    <w:top w:val="none" w:sz="0" w:space="0" w:color="auto"/>
                                    <w:left w:val="none" w:sz="0" w:space="0" w:color="auto"/>
                                    <w:bottom w:val="none" w:sz="0" w:space="0" w:color="auto"/>
                                    <w:right w:val="none" w:sz="0" w:space="0" w:color="auto"/>
                                  </w:divBdr>
                                  <w:divsChild>
                                    <w:div w:id="1379622825">
                                      <w:marLeft w:val="0"/>
                                      <w:marRight w:val="0"/>
                                      <w:marTop w:val="225"/>
                                      <w:marBottom w:val="0"/>
                                      <w:divBdr>
                                        <w:top w:val="none" w:sz="0" w:space="0" w:color="auto"/>
                                        <w:left w:val="none" w:sz="0" w:space="0" w:color="auto"/>
                                        <w:bottom w:val="none" w:sz="0" w:space="0" w:color="auto"/>
                                        <w:right w:val="none" w:sz="0" w:space="0" w:color="auto"/>
                                      </w:divBdr>
                                      <w:divsChild>
                                        <w:div w:id="630092597">
                                          <w:marLeft w:val="0"/>
                                          <w:marRight w:val="0"/>
                                          <w:marTop w:val="0"/>
                                          <w:marBottom w:val="225"/>
                                          <w:divBdr>
                                            <w:top w:val="none" w:sz="0" w:space="0" w:color="auto"/>
                                            <w:left w:val="none" w:sz="0" w:space="0" w:color="auto"/>
                                            <w:bottom w:val="none" w:sz="0" w:space="0" w:color="auto"/>
                                            <w:right w:val="none" w:sz="0" w:space="0" w:color="auto"/>
                                          </w:divBdr>
                                          <w:divsChild>
                                            <w:div w:id="963543010">
                                              <w:blockQuote w:val="1"/>
                                              <w:marLeft w:val="3"/>
                                              <w:marRight w:val="720"/>
                                              <w:marTop w:val="225"/>
                                              <w:marBottom w:val="100"/>
                                              <w:divBdr>
                                                <w:top w:val="none" w:sz="0" w:space="0" w:color="auto"/>
                                                <w:left w:val="single" w:sz="6" w:space="23" w:color="CCCCCC"/>
                                                <w:bottom w:val="none" w:sz="0" w:space="0" w:color="auto"/>
                                                <w:right w:val="none" w:sz="0" w:space="0" w:color="auto"/>
                                              </w:divBdr>
                                            </w:div>
                                          </w:divsChild>
                                        </w:div>
                                      </w:divsChild>
                                    </w:div>
                                  </w:divsChild>
                                </w:div>
                              </w:divsChild>
                            </w:div>
                          </w:divsChild>
                        </w:div>
                      </w:divsChild>
                    </w:div>
                  </w:divsChild>
                </w:div>
              </w:divsChild>
            </w:div>
          </w:divsChild>
        </w:div>
      </w:divsChild>
    </w:div>
    <w:div w:id="941180097">
      <w:bodyDiv w:val="1"/>
      <w:marLeft w:val="0"/>
      <w:marRight w:val="0"/>
      <w:marTop w:val="0"/>
      <w:marBottom w:val="0"/>
      <w:divBdr>
        <w:top w:val="none" w:sz="0" w:space="0" w:color="auto"/>
        <w:left w:val="none" w:sz="0" w:space="0" w:color="auto"/>
        <w:bottom w:val="none" w:sz="0" w:space="0" w:color="auto"/>
        <w:right w:val="none" w:sz="0" w:space="0" w:color="auto"/>
      </w:divBdr>
      <w:divsChild>
        <w:div w:id="727606754">
          <w:marLeft w:val="0"/>
          <w:marRight w:val="0"/>
          <w:marTop w:val="0"/>
          <w:marBottom w:val="0"/>
          <w:divBdr>
            <w:top w:val="none" w:sz="0" w:space="0" w:color="auto"/>
            <w:left w:val="none" w:sz="0" w:space="0" w:color="auto"/>
            <w:bottom w:val="none" w:sz="0" w:space="0" w:color="auto"/>
            <w:right w:val="none" w:sz="0" w:space="0" w:color="auto"/>
          </w:divBdr>
          <w:divsChild>
            <w:div w:id="700976036">
              <w:marLeft w:val="0"/>
              <w:marRight w:val="0"/>
              <w:marTop w:val="0"/>
              <w:marBottom w:val="0"/>
              <w:divBdr>
                <w:top w:val="none" w:sz="0" w:space="0" w:color="auto"/>
                <w:left w:val="none" w:sz="0" w:space="0" w:color="auto"/>
                <w:bottom w:val="none" w:sz="0" w:space="0" w:color="auto"/>
                <w:right w:val="none" w:sz="0" w:space="0" w:color="auto"/>
              </w:divBdr>
              <w:divsChild>
                <w:div w:id="1061170751">
                  <w:marLeft w:val="0"/>
                  <w:marRight w:val="0"/>
                  <w:marTop w:val="0"/>
                  <w:marBottom w:val="0"/>
                  <w:divBdr>
                    <w:top w:val="none" w:sz="0" w:space="0" w:color="auto"/>
                    <w:left w:val="none" w:sz="0" w:space="0" w:color="auto"/>
                    <w:bottom w:val="none" w:sz="0" w:space="0" w:color="auto"/>
                    <w:right w:val="none" w:sz="0" w:space="0" w:color="auto"/>
                  </w:divBdr>
                  <w:divsChild>
                    <w:div w:id="83653808">
                      <w:marLeft w:val="0"/>
                      <w:marRight w:val="0"/>
                      <w:marTop w:val="0"/>
                      <w:marBottom w:val="0"/>
                      <w:divBdr>
                        <w:top w:val="none" w:sz="0" w:space="0" w:color="auto"/>
                        <w:left w:val="none" w:sz="0" w:space="0" w:color="auto"/>
                        <w:bottom w:val="none" w:sz="0" w:space="0" w:color="auto"/>
                        <w:right w:val="none" w:sz="0" w:space="0" w:color="auto"/>
                      </w:divBdr>
                      <w:divsChild>
                        <w:div w:id="1123884748">
                          <w:marLeft w:val="0"/>
                          <w:marRight w:val="0"/>
                          <w:marTop w:val="0"/>
                          <w:marBottom w:val="0"/>
                          <w:divBdr>
                            <w:top w:val="none" w:sz="0" w:space="0" w:color="auto"/>
                            <w:left w:val="none" w:sz="0" w:space="0" w:color="auto"/>
                            <w:bottom w:val="none" w:sz="0" w:space="0" w:color="auto"/>
                            <w:right w:val="none" w:sz="0" w:space="0" w:color="auto"/>
                          </w:divBdr>
                          <w:divsChild>
                            <w:div w:id="619724583">
                              <w:marLeft w:val="0"/>
                              <w:marRight w:val="0"/>
                              <w:marTop w:val="0"/>
                              <w:marBottom w:val="0"/>
                              <w:divBdr>
                                <w:top w:val="none" w:sz="0" w:space="0" w:color="auto"/>
                                <w:left w:val="none" w:sz="0" w:space="0" w:color="auto"/>
                                <w:bottom w:val="none" w:sz="0" w:space="0" w:color="auto"/>
                                <w:right w:val="none" w:sz="0" w:space="0" w:color="auto"/>
                              </w:divBdr>
                              <w:divsChild>
                                <w:div w:id="1864856281">
                                  <w:marLeft w:val="0"/>
                                  <w:marRight w:val="0"/>
                                  <w:marTop w:val="0"/>
                                  <w:marBottom w:val="0"/>
                                  <w:divBdr>
                                    <w:top w:val="none" w:sz="0" w:space="0" w:color="auto"/>
                                    <w:left w:val="none" w:sz="0" w:space="0" w:color="auto"/>
                                    <w:bottom w:val="none" w:sz="0" w:space="0" w:color="auto"/>
                                    <w:right w:val="none" w:sz="0" w:space="0" w:color="auto"/>
                                  </w:divBdr>
                                  <w:divsChild>
                                    <w:div w:id="1527326695">
                                      <w:marLeft w:val="0"/>
                                      <w:marRight w:val="0"/>
                                      <w:marTop w:val="0"/>
                                      <w:marBottom w:val="0"/>
                                      <w:divBdr>
                                        <w:top w:val="none" w:sz="0" w:space="0" w:color="auto"/>
                                        <w:left w:val="none" w:sz="0" w:space="0" w:color="auto"/>
                                        <w:bottom w:val="none" w:sz="0" w:space="0" w:color="auto"/>
                                        <w:right w:val="none" w:sz="0" w:space="0" w:color="auto"/>
                                      </w:divBdr>
                                      <w:divsChild>
                                        <w:div w:id="9465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468403">
      <w:bodyDiv w:val="1"/>
      <w:marLeft w:val="0"/>
      <w:marRight w:val="0"/>
      <w:marTop w:val="0"/>
      <w:marBottom w:val="0"/>
      <w:divBdr>
        <w:top w:val="none" w:sz="0" w:space="0" w:color="auto"/>
        <w:left w:val="none" w:sz="0" w:space="0" w:color="auto"/>
        <w:bottom w:val="none" w:sz="0" w:space="0" w:color="auto"/>
        <w:right w:val="none" w:sz="0" w:space="0" w:color="auto"/>
      </w:divBdr>
      <w:divsChild>
        <w:div w:id="133332058">
          <w:marLeft w:val="0"/>
          <w:marRight w:val="0"/>
          <w:marTop w:val="0"/>
          <w:marBottom w:val="0"/>
          <w:divBdr>
            <w:top w:val="none" w:sz="0" w:space="0" w:color="auto"/>
            <w:left w:val="none" w:sz="0" w:space="0" w:color="auto"/>
            <w:bottom w:val="none" w:sz="0" w:space="0" w:color="auto"/>
            <w:right w:val="none" w:sz="0" w:space="0" w:color="auto"/>
          </w:divBdr>
          <w:divsChild>
            <w:div w:id="46953240">
              <w:marLeft w:val="0"/>
              <w:marRight w:val="0"/>
              <w:marTop w:val="0"/>
              <w:marBottom w:val="0"/>
              <w:divBdr>
                <w:top w:val="none" w:sz="0" w:space="0" w:color="auto"/>
                <w:left w:val="none" w:sz="0" w:space="0" w:color="auto"/>
                <w:bottom w:val="none" w:sz="0" w:space="0" w:color="auto"/>
                <w:right w:val="none" w:sz="0" w:space="0" w:color="auto"/>
              </w:divBdr>
              <w:divsChild>
                <w:div w:id="687756381">
                  <w:marLeft w:val="0"/>
                  <w:marRight w:val="0"/>
                  <w:marTop w:val="0"/>
                  <w:marBottom w:val="0"/>
                  <w:divBdr>
                    <w:top w:val="none" w:sz="0" w:space="0" w:color="auto"/>
                    <w:left w:val="none" w:sz="0" w:space="0" w:color="auto"/>
                    <w:bottom w:val="none" w:sz="0" w:space="0" w:color="auto"/>
                    <w:right w:val="none" w:sz="0" w:space="0" w:color="auto"/>
                  </w:divBdr>
                  <w:divsChild>
                    <w:div w:id="1038824042">
                      <w:marLeft w:val="0"/>
                      <w:marRight w:val="0"/>
                      <w:marTop w:val="0"/>
                      <w:marBottom w:val="0"/>
                      <w:divBdr>
                        <w:top w:val="none" w:sz="0" w:space="0" w:color="auto"/>
                        <w:left w:val="none" w:sz="0" w:space="0" w:color="auto"/>
                        <w:bottom w:val="none" w:sz="0" w:space="0" w:color="auto"/>
                        <w:right w:val="none" w:sz="0" w:space="0" w:color="auto"/>
                      </w:divBdr>
                      <w:divsChild>
                        <w:div w:id="2141411025">
                          <w:marLeft w:val="0"/>
                          <w:marRight w:val="0"/>
                          <w:marTop w:val="0"/>
                          <w:marBottom w:val="0"/>
                          <w:divBdr>
                            <w:top w:val="none" w:sz="0" w:space="0" w:color="auto"/>
                            <w:left w:val="none" w:sz="0" w:space="0" w:color="auto"/>
                            <w:bottom w:val="none" w:sz="0" w:space="0" w:color="auto"/>
                            <w:right w:val="none" w:sz="0" w:space="0" w:color="auto"/>
                          </w:divBdr>
                          <w:divsChild>
                            <w:div w:id="748159256">
                              <w:marLeft w:val="0"/>
                              <w:marRight w:val="0"/>
                              <w:marTop w:val="0"/>
                              <w:marBottom w:val="0"/>
                              <w:divBdr>
                                <w:top w:val="none" w:sz="0" w:space="0" w:color="auto"/>
                                <w:left w:val="none" w:sz="0" w:space="0" w:color="auto"/>
                                <w:bottom w:val="none" w:sz="0" w:space="0" w:color="auto"/>
                                <w:right w:val="none" w:sz="0" w:space="0" w:color="auto"/>
                              </w:divBdr>
                              <w:divsChild>
                                <w:div w:id="85612932">
                                  <w:marLeft w:val="0"/>
                                  <w:marRight w:val="0"/>
                                  <w:marTop w:val="0"/>
                                  <w:marBottom w:val="0"/>
                                  <w:divBdr>
                                    <w:top w:val="none" w:sz="0" w:space="0" w:color="auto"/>
                                    <w:left w:val="none" w:sz="0" w:space="0" w:color="auto"/>
                                    <w:bottom w:val="none" w:sz="0" w:space="0" w:color="auto"/>
                                    <w:right w:val="none" w:sz="0" w:space="0" w:color="auto"/>
                                  </w:divBdr>
                                  <w:divsChild>
                                    <w:div w:id="1289891143">
                                      <w:marLeft w:val="60"/>
                                      <w:marRight w:val="0"/>
                                      <w:marTop w:val="0"/>
                                      <w:marBottom w:val="0"/>
                                      <w:divBdr>
                                        <w:top w:val="none" w:sz="0" w:space="0" w:color="auto"/>
                                        <w:left w:val="none" w:sz="0" w:space="0" w:color="auto"/>
                                        <w:bottom w:val="none" w:sz="0" w:space="0" w:color="auto"/>
                                        <w:right w:val="none" w:sz="0" w:space="0" w:color="auto"/>
                                      </w:divBdr>
                                      <w:divsChild>
                                        <w:div w:id="1805154031">
                                          <w:marLeft w:val="0"/>
                                          <w:marRight w:val="0"/>
                                          <w:marTop w:val="0"/>
                                          <w:marBottom w:val="0"/>
                                          <w:divBdr>
                                            <w:top w:val="none" w:sz="0" w:space="0" w:color="auto"/>
                                            <w:left w:val="none" w:sz="0" w:space="0" w:color="auto"/>
                                            <w:bottom w:val="none" w:sz="0" w:space="0" w:color="auto"/>
                                            <w:right w:val="none" w:sz="0" w:space="0" w:color="auto"/>
                                          </w:divBdr>
                                          <w:divsChild>
                                            <w:div w:id="871576105">
                                              <w:marLeft w:val="0"/>
                                              <w:marRight w:val="0"/>
                                              <w:marTop w:val="0"/>
                                              <w:marBottom w:val="120"/>
                                              <w:divBdr>
                                                <w:top w:val="single" w:sz="6" w:space="0" w:color="F5F5F5"/>
                                                <w:left w:val="single" w:sz="6" w:space="0" w:color="F5F5F5"/>
                                                <w:bottom w:val="single" w:sz="6" w:space="0" w:color="F5F5F5"/>
                                                <w:right w:val="single" w:sz="6" w:space="0" w:color="F5F5F5"/>
                                              </w:divBdr>
                                              <w:divsChild>
                                                <w:div w:id="1628510608">
                                                  <w:marLeft w:val="0"/>
                                                  <w:marRight w:val="0"/>
                                                  <w:marTop w:val="0"/>
                                                  <w:marBottom w:val="0"/>
                                                  <w:divBdr>
                                                    <w:top w:val="none" w:sz="0" w:space="0" w:color="auto"/>
                                                    <w:left w:val="none" w:sz="0" w:space="0" w:color="auto"/>
                                                    <w:bottom w:val="none" w:sz="0" w:space="0" w:color="auto"/>
                                                    <w:right w:val="none" w:sz="0" w:space="0" w:color="auto"/>
                                                  </w:divBdr>
                                                  <w:divsChild>
                                                    <w:div w:id="13410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880374">
      <w:bodyDiv w:val="1"/>
      <w:marLeft w:val="0"/>
      <w:marRight w:val="0"/>
      <w:marTop w:val="0"/>
      <w:marBottom w:val="0"/>
      <w:divBdr>
        <w:top w:val="none" w:sz="0" w:space="0" w:color="auto"/>
        <w:left w:val="none" w:sz="0" w:space="0" w:color="auto"/>
        <w:bottom w:val="none" w:sz="0" w:space="0" w:color="auto"/>
        <w:right w:val="none" w:sz="0" w:space="0" w:color="auto"/>
      </w:divBdr>
      <w:divsChild>
        <w:div w:id="1793136153">
          <w:marLeft w:val="0"/>
          <w:marRight w:val="0"/>
          <w:marTop w:val="0"/>
          <w:marBottom w:val="0"/>
          <w:divBdr>
            <w:top w:val="none" w:sz="0" w:space="0" w:color="auto"/>
            <w:left w:val="none" w:sz="0" w:space="0" w:color="auto"/>
            <w:bottom w:val="none" w:sz="0" w:space="0" w:color="auto"/>
            <w:right w:val="none" w:sz="0" w:space="0" w:color="auto"/>
          </w:divBdr>
          <w:divsChild>
            <w:div w:id="1791826715">
              <w:marLeft w:val="0"/>
              <w:marRight w:val="0"/>
              <w:marTop w:val="0"/>
              <w:marBottom w:val="0"/>
              <w:divBdr>
                <w:top w:val="none" w:sz="0" w:space="0" w:color="auto"/>
                <w:left w:val="none" w:sz="0" w:space="0" w:color="auto"/>
                <w:bottom w:val="none" w:sz="0" w:space="0" w:color="auto"/>
                <w:right w:val="none" w:sz="0" w:space="0" w:color="auto"/>
              </w:divBdr>
              <w:divsChild>
                <w:div w:id="8279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3991">
      <w:bodyDiv w:val="1"/>
      <w:marLeft w:val="0"/>
      <w:marRight w:val="0"/>
      <w:marTop w:val="0"/>
      <w:marBottom w:val="0"/>
      <w:divBdr>
        <w:top w:val="none" w:sz="0" w:space="0" w:color="auto"/>
        <w:left w:val="none" w:sz="0" w:space="0" w:color="auto"/>
        <w:bottom w:val="none" w:sz="0" w:space="0" w:color="auto"/>
        <w:right w:val="none" w:sz="0" w:space="0" w:color="auto"/>
      </w:divBdr>
      <w:divsChild>
        <w:div w:id="606620753">
          <w:marLeft w:val="0"/>
          <w:marRight w:val="0"/>
          <w:marTop w:val="0"/>
          <w:marBottom w:val="0"/>
          <w:divBdr>
            <w:top w:val="none" w:sz="0" w:space="0" w:color="auto"/>
            <w:left w:val="none" w:sz="0" w:space="0" w:color="auto"/>
            <w:bottom w:val="none" w:sz="0" w:space="0" w:color="auto"/>
            <w:right w:val="none" w:sz="0" w:space="0" w:color="auto"/>
          </w:divBdr>
          <w:divsChild>
            <w:div w:id="1149135350">
              <w:marLeft w:val="0"/>
              <w:marRight w:val="0"/>
              <w:marTop w:val="0"/>
              <w:marBottom w:val="0"/>
              <w:divBdr>
                <w:top w:val="none" w:sz="0" w:space="0" w:color="auto"/>
                <w:left w:val="none" w:sz="0" w:space="0" w:color="auto"/>
                <w:bottom w:val="none" w:sz="0" w:space="0" w:color="auto"/>
                <w:right w:val="none" w:sz="0" w:space="0" w:color="auto"/>
              </w:divBdr>
              <w:divsChild>
                <w:div w:id="1982073585">
                  <w:marLeft w:val="0"/>
                  <w:marRight w:val="0"/>
                  <w:marTop w:val="0"/>
                  <w:marBottom w:val="0"/>
                  <w:divBdr>
                    <w:top w:val="none" w:sz="0" w:space="0" w:color="auto"/>
                    <w:left w:val="none" w:sz="0" w:space="0" w:color="auto"/>
                    <w:bottom w:val="none" w:sz="0" w:space="0" w:color="auto"/>
                    <w:right w:val="none" w:sz="0" w:space="0" w:color="auto"/>
                  </w:divBdr>
                  <w:divsChild>
                    <w:div w:id="470251011">
                      <w:marLeft w:val="0"/>
                      <w:marRight w:val="0"/>
                      <w:marTop w:val="0"/>
                      <w:marBottom w:val="0"/>
                      <w:divBdr>
                        <w:top w:val="none" w:sz="0" w:space="0" w:color="auto"/>
                        <w:left w:val="none" w:sz="0" w:space="0" w:color="auto"/>
                        <w:bottom w:val="none" w:sz="0" w:space="0" w:color="auto"/>
                        <w:right w:val="none" w:sz="0" w:space="0" w:color="auto"/>
                      </w:divBdr>
                      <w:divsChild>
                        <w:div w:id="501353877">
                          <w:marLeft w:val="0"/>
                          <w:marRight w:val="0"/>
                          <w:marTop w:val="0"/>
                          <w:marBottom w:val="0"/>
                          <w:divBdr>
                            <w:top w:val="none" w:sz="0" w:space="0" w:color="auto"/>
                            <w:left w:val="none" w:sz="0" w:space="0" w:color="auto"/>
                            <w:bottom w:val="none" w:sz="0" w:space="0" w:color="auto"/>
                            <w:right w:val="none" w:sz="0" w:space="0" w:color="auto"/>
                          </w:divBdr>
                          <w:divsChild>
                            <w:div w:id="14582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890231">
      <w:bodyDiv w:val="1"/>
      <w:marLeft w:val="0"/>
      <w:marRight w:val="0"/>
      <w:marTop w:val="0"/>
      <w:marBottom w:val="0"/>
      <w:divBdr>
        <w:top w:val="none" w:sz="0" w:space="0" w:color="auto"/>
        <w:left w:val="none" w:sz="0" w:space="0" w:color="auto"/>
        <w:bottom w:val="none" w:sz="0" w:space="0" w:color="auto"/>
        <w:right w:val="none" w:sz="0" w:space="0" w:color="auto"/>
      </w:divBdr>
      <w:divsChild>
        <w:div w:id="324478353">
          <w:marLeft w:val="0"/>
          <w:marRight w:val="0"/>
          <w:marTop w:val="0"/>
          <w:marBottom w:val="0"/>
          <w:divBdr>
            <w:top w:val="none" w:sz="0" w:space="0" w:color="auto"/>
            <w:left w:val="none" w:sz="0" w:space="0" w:color="auto"/>
            <w:bottom w:val="none" w:sz="0" w:space="0" w:color="auto"/>
            <w:right w:val="none" w:sz="0" w:space="0" w:color="auto"/>
          </w:divBdr>
          <w:divsChild>
            <w:div w:id="1906600621">
              <w:marLeft w:val="0"/>
              <w:marRight w:val="0"/>
              <w:marTop w:val="0"/>
              <w:marBottom w:val="0"/>
              <w:divBdr>
                <w:top w:val="none" w:sz="0" w:space="0" w:color="auto"/>
                <w:left w:val="none" w:sz="0" w:space="0" w:color="auto"/>
                <w:bottom w:val="none" w:sz="0" w:space="0" w:color="auto"/>
                <w:right w:val="none" w:sz="0" w:space="0" w:color="auto"/>
              </w:divBdr>
              <w:divsChild>
                <w:div w:id="87431199">
                  <w:marLeft w:val="0"/>
                  <w:marRight w:val="0"/>
                  <w:marTop w:val="0"/>
                  <w:marBottom w:val="0"/>
                  <w:divBdr>
                    <w:top w:val="none" w:sz="0" w:space="0" w:color="auto"/>
                    <w:left w:val="none" w:sz="0" w:space="0" w:color="auto"/>
                    <w:bottom w:val="none" w:sz="0" w:space="0" w:color="auto"/>
                    <w:right w:val="none" w:sz="0" w:space="0" w:color="auto"/>
                  </w:divBdr>
                  <w:divsChild>
                    <w:div w:id="98721322">
                      <w:marLeft w:val="0"/>
                      <w:marRight w:val="0"/>
                      <w:marTop w:val="0"/>
                      <w:marBottom w:val="0"/>
                      <w:divBdr>
                        <w:top w:val="none" w:sz="0" w:space="0" w:color="auto"/>
                        <w:left w:val="none" w:sz="0" w:space="0" w:color="auto"/>
                        <w:bottom w:val="none" w:sz="0" w:space="0" w:color="auto"/>
                        <w:right w:val="none" w:sz="0" w:space="0" w:color="auto"/>
                      </w:divBdr>
                      <w:divsChild>
                        <w:div w:id="808935094">
                          <w:marLeft w:val="0"/>
                          <w:marRight w:val="0"/>
                          <w:marTop w:val="0"/>
                          <w:marBottom w:val="0"/>
                          <w:divBdr>
                            <w:top w:val="none" w:sz="0" w:space="0" w:color="auto"/>
                            <w:left w:val="none" w:sz="0" w:space="0" w:color="auto"/>
                            <w:bottom w:val="none" w:sz="0" w:space="0" w:color="auto"/>
                            <w:right w:val="none" w:sz="0" w:space="0" w:color="auto"/>
                          </w:divBdr>
                          <w:divsChild>
                            <w:div w:id="1211918168">
                              <w:marLeft w:val="0"/>
                              <w:marRight w:val="0"/>
                              <w:marTop w:val="0"/>
                              <w:marBottom w:val="0"/>
                              <w:divBdr>
                                <w:top w:val="none" w:sz="0" w:space="0" w:color="auto"/>
                                <w:left w:val="none" w:sz="0" w:space="0" w:color="auto"/>
                                <w:bottom w:val="none" w:sz="0" w:space="0" w:color="auto"/>
                                <w:right w:val="none" w:sz="0" w:space="0" w:color="auto"/>
                              </w:divBdr>
                              <w:divsChild>
                                <w:div w:id="1574390584">
                                  <w:marLeft w:val="0"/>
                                  <w:marRight w:val="0"/>
                                  <w:marTop w:val="0"/>
                                  <w:marBottom w:val="0"/>
                                  <w:divBdr>
                                    <w:top w:val="none" w:sz="0" w:space="0" w:color="auto"/>
                                    <w:left w:val="none" w:sz="0" w:space="0" w:color="auto"/>
                                    <w:bottom w:val="none" w:sz="0" w:space="0" w:color="auto"/>
                                    <w:right w:val="none" w:sz="0" w:space="0" w:color="auto"/>
                                  </w:divBdr>
                                  <w:divsChild>
                                    <w:div w:id="230048451">
                                      <w:marLeft w:val="60"/>
                                      <w:marRight w:val="0"/>
                                      <w:marTop w:val="0"/>
                                      <w:marBottom w:val="0"/>
                                      <w:divBdr>
                                        <w:top w:val="none" w:sz="0" w:space="0" w:color="auto"/>
                                        <w:left w:val="none" w:sz="0" w:space="0" w:color="auto"/>
                                        <w:bottom w:val="none" w:sz="0" w:space="0" w:color="auto"/>
                                        <w:right w:val="none" w:sz="0" w:space="0" w:color="auto"/>
                                      </w:divBdr>
                                      <w:divsChild>
                                        <w:div w:id="1153451637">
                                          <w:marLeft w:val="0"/>
                                          <w:marRight w:val="0"/>
                                          <w:marTop w:val="0"/>
                                          <w:marBottom w:val="0"/>
                                          <w:divBdr>
                                            <w:top w:val="none" w:sz="0" w:space="0" w:color="auto"/>
                                            <w:left w:val="none" w:sz="0" w:space="0" w:color="auto"/>
                                            <w:bottom w:val="none" w:sz="0" w:space="0" w:color="auto"/>
                                            <w:right w:val="none" w:sz="0" w:space="0" w:color="auto"/>
                                          </w:divBdr>
                                          <w:divsChild>
                                            <w:div w:id="1807817588">
                                              <w:marLeft w:val="0"/>
                                              <w:marRight w:val="0"/>
                                              <w:marTop w:val="0"/>
                                              <w:marBottom w:val="120"/>
                                              <w:divBdr>
                                                <w:top w:val="single" w:sz="6" w:space="0" w:color="F5F5F5"/>
                                                <w:left w:val="single" w:sz="6" w:space="0" w:color="F5F5F5"/>
                                                <w:bottom w:val="single" w:sz="6" w:space="0" w:color="F5F5F5"/>
                                                <w:right w:val="single" w:sz="6" w:space="0" w:color="F5F5F5"/>
                                              </w:divBdr>
                                              <w:divsChild>
                                                <w:div w:id="1279338989">
                                                  <w:marLeft w:val="0"/>
                                                  <w:marRight w:val="0"/>
                                                  <w:marTop w:val="0"/>
                                                  <w:marBottom w:val="0"/>
                                                  <w:divBdr>
                                                    <w:top w:val="none" w:sz="0" w:space="0" w:color="auto"/>
                                                    <w:left w:val="none" w:sz="0" w:space="0" w:color="auto"/>
                                                    <w:bottom w:val="none" w:sz="0" w:space="0" w:color="auto"/>
                                                    <w:right w:val="none" w:sz="0" w:space="0" w:color="auto"/>
                                                  </w:divBdr>
                                                  <w:divsChild>
                                                    <w:div w:id="4221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327468">
      <w:bodyDiv w:val="1"/>
      <w:marLeft w:val="0"/>
      <w:marRight w:val="0"/>
      <w:marTop w:val="0"/>
      <w:marBottom w:val="0"/>
      <w:divBdr>
        <w:top w:val="none" w:sz="0" w:space="0" w:color="auto"/>
        <w:left w:val="none" w:sz="0" w:space="0" w:color="auto"/>
        <w:bottom w:val="none" w:sz="0" w:space="0" w:color="auto"/>
        <w:right w:val="none" w:sz="0" w:space="0" w:color="auto"/>
      </w:divBdr>
      <w:divsChild>
        <w:div w:id="934095350">
          <w:marLeft w:val="0"/>
          <w:marRight w:val="0"/>
          <w:marTop w:val="0"/>
          <w:marBottom w:val="0"/>
          <w:divBdr>
            <w:top w:val="none" w:sz="0" w:space="0" w:color="auto"/>
            <w:left w:val="none" w:sz="0" w:space="0" w:color="auto"/>
            <w:bottom w:val="none" w:sz="0" w:space="0" w:color="auto"/>
            <w:right w:val="none" w:sz="0" w:space="0" w:color="auto"/>
          </w:divBdr>
          <w:divsChild>
            <w:div w:id="1801923812">
              <w:marLeft w:val="0"/>
              <w:marRight w:val="0"/>
              <w:marTop w:val="0"/>
              <w:marBottom w:val="0"/>
              <w:divBdr>
                <w:top w:val="none" w:sz="0" w:space="0" w:color="auto"/>
                <w:left w:val="none" w:sz="0" w:space="0" w:color="auto"/>
                <w:bottom w:val="none" w:sz="0" w:space="0" w:color="auto"/>
                <w:right w:val="none" w:sz="0" w:space="0" w:color="auto"/>
              </w:divBdr>
              <w:divsChild>
                <w:div w:id="2088921248">
                  <w:marLeft w:val="0"/>
                  <w:marRight w:val="0"/>
                  <w:marTop w:val="0"/>
                  <w:marBottom w:val="0"/>
                  <w:divBdr>
                    <w:top w:val="none" w:sz="0" w:space="0" w:color="auto"/>
                    <w:left w:val="none" w:sz="0" w:space="0" w:color="auto"/>
                    <w:bottom w:val="none" w:sz="0" w:space="0" w:color="auto"/>
                    <w:right w:val="none" w:sz="0" w:space="0" w:color="auto"/>
                  </w:divBdr>
                </w:div>
                <w:div w:id="20295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5063">
      <w:bodyDiv w:val="1"/>
      <w:marLeft w:val="0"/>
      <w:marRight w:val="0"/>
      <w:marTop w:val="0"/>
      <w:marBottom w:val="0"/>
      <w:divBdr>
        <w:top w:val="none" w:sz="0" w:space="0" w:color="auto"/>
        <w:left w:val="none" w:sz="0" w:space="0" w:color="auto"/>
        <w:bottom w:val="none" w:sz="0" w:space="0" w:color="auto"/>
        <w:right w:val="none" w:sz="0" w:space="0" w:color="auto"/>
      </w:divBdr>
      <w:divsChild>
        <w:div w:id="103311496">
          <w:marLeft w:val="0"/>
          <w:marRight w:val="0"/>
          <w:marTop w:val="0"/>
          <w:marBottom w:val="0"/>
          <w:divBdr>
            <w:top w:val="none" w:sz="0" w:space="0" w:color="auto"/>
            <w:left w:val="none" w:sz="0" w:space="0" w:color="auto"/>
            <w:bottom w:val="none" w:sz="0" w:space="0" w:color="auto"/>
            <w:right w:val="none" w:sz="0" w:space="0" w:color="auto"/>
          </w:divBdr>
          <w:divsChild>
            <w:div w:id="1859274770">
              <w:marLeft w:val="0"/>
              <w:marRight w:val="0"/>
              <w:marTop w:val="0"/>
              <w:marBottom w:val="0"/>
              <w:divBdr>
                <w:top w:val="none" w:sz="0" w:space="0" w:color="auto"/>
                <w:left w:val="none" w:sz="0" w:space="0" w:color="auto"/>
                <w:bottom w:val="none" w:sz="0" w:space="0" w:color="auto"/>
                <w:right w:val="none" w:sz="0" w:space="0" w:color="auto"/>
              </w:divBdr>
              <w:divsChild>
                <w:div w:id="426193022">
                  <w:marLeft w:val="0"/>
                  <w:marRight w:val="0"/>
                  <w:marTop w:val="0"/>
                  <w:marBottom w:val="0"/>
                  <w:divBdr>
                    <w:top w:val="none" w:sz="0" w:space="0" w:color="auto"/>
                    <w:left w:val="none" w:sz="0" w:space="0" w:color="auto"/>
                    <w:bottom w:val="none" w:sz="0" w:space="0" w:color="auto"/>
                    <w:right w:val="none" w:sz="0" w:space="0" w:color="auto"/>
                  </w:divBdr>
                  <w:divsChild>
                    <w:div w:id="283461271">
                      <w:marLeft w:val="0"/>
                      <w:marRight w:val="0"/>
                      <w:marTop w:val="0"/>
                      <w:marBottom w:val="0"/>
                      <w:divBdr>
                        <w:top w:val="none" w:sz="0" w:space="0" w:color="auto"/>
                        <w:left w:val="none" w:sz="0" w:space="0" w:color="auto"/>
                        <w:bottom w:val="none" w:sz="0" w:space="0" w:color="auto"/>
                        <w:right w:val="none" w:sz="0" w:space="0" w:color="auto"/>
                      </w:divBdr>
                      <w:divsChild>
                        <w:div w:id="2002809691">
                          <w:marLeft w:val="0"/>
                          <w:marRight w:val="0"/>
                          <w:marTop w:val="0"/>
                          <w:marBottom w:val="0"/>
                          <w:divBdr>
                            <w:top w:val="none" w:sz="0" w:space="0" w:color="auto"/>
                            <w:left w:val="none" w:sz="0" w:space="0" w:color="auto"/>
                            <w:bottom w:val="none" w:sz="0" w:space="0" w:color="auto"/>
                            <w:right w:val="none" w:sz="0" w:space="0" w:color="auto"/>
                          </w:divBdr>
                          <w:divsChild>
                            <w:div w:id="1827819075">
                              <w:marLeft w:val="0"/>
                              <w:marRight w:val="0"/>
                              <w:marTop w:val="0"/>
                              <w:marBottom w:val="0"/>
                              <w:divBdr>
                                <w:top w:val="none" w:sz="0" w:space="0" w:color="auto"/>
                                <w:left w:val="none" w:sz="0" w:space="0" w:color="auto"/>
                                <w:bottom w:val="none" w:sz="0" w:space="0" w:color="auto"/>
                                <w:right w:val="none" w:sz="0" w:space="0" w:color="auto"/>
                              </w:divBdr>
                              <w:divsChild>
                                <w:div w:id="1764718049">
                                  <w:marLeft w:val="0"/>
                                  <w:marRight w:val="0"/>
                                  <w:marTop w:val="0"/>
                                  <w:marBottom w:val="0"/>
                                  <w:divBdr>
                                    <w:top w:val="none" w:sz="0" w:space="0" w:color="auto"/>
                                    <w:left w:val="none" w:sz="0" w:space="0" w:color="auto"/>
                                    <w:bottom w:val="none" w:sz="0" w:space="0" w:color="auto"/>
                                    <w:right w:val="none" w:sz="0" w:space="0" w:color="auto"/>
                                  </w:divBdr>
                                  <w:divsChild>
                                    <w:div w:id="483015333">
                                      <w:marLeft w:val="60"/>
                                      <w:marRight w:val="0"/>
                                      <w:marTop w:val="0"/>
                                      <w:marBottom w:val="0"/>
                                      <w:divBdr>
                                        <w:top w:val="none" w:sz="0" w:space="0" w:color="auto"/>
                                        <w:left w:val="none" w:sz="0" w:space="0" w:color="auto"/>
                                        <w:bottom w:val="none" w:sz="0" w:space="0" w:color="auto"/>
                                        <w:right w:val="none" w:sz="0" w:space="0" w:color="auto"/>
                                      </w:divBdr>
                                      <w:divsChild>
                                        <w:div w:id="1049451293">
                                          <w:marLeft w:val="0"/>
                                          <w:marRight w:val="0"/>
                                          <w:marTop w:val="0"/>
                                          <w:marBottom w:val="0"/>
                                          <w:divBdr>
                                            <w:top w:val="none" w:sz="0" w:space="0" w:color="auto"/>
                                            <w:left w:val="none" w:sz="0" w:space="0" w:color="auto"/>
                                            <w:bottom w:val="none" w:sz="0" w:space="0" w:color="auto"/>
                                            <w:right w:val="none" w:sz="0" w:space="0" w:color="auto"/>
                                          </w:divBdr>
                                          <w:divsChild>
                                            <w:div w:id="1882013425">
                                              <w:marLeft w:val="0"/>
                                              <w:marRight w:val="0"/>
                                              <w:marTop w:val="0"/>
                                              <w:marBottom w:val="120"/>
                                              <w:divBdr>
                                                <w:top w:val="single" w:sz="6" w:space="0" w:color="F5F5F5"/>
                                                <w:left w:val="single" w:sz="6" w:space="0" w:color="F5F5F5"/>
                                                <w:bottom w:val="single" w:sz="6" w:space="0" w:color="F5F5F5"/>
                                                <w:right w:val="single" w:sz="6" w:space="0" w:color="F5F5F5"/>
                                              </w:divBdr>
                                              <w:divsChild>
                                                <w:div w:id="1688829917">
                                                  <w:marLeft w:val="0"/>
                                                  <w:marRight w:val="0"/>
                                                  <w:marTop w:val="0"/>
                                                  <w:marBottom w:val="0"/>
                                                  <w:divBdr>
                                                    <w:top w:val="none" w:sz="0" w:space="0" w:color="auto"/>
                                                    <w:left w:val="none" w:sz="0" w:space="0" w:color="auto"/>
                                                    <w:bottom w:val="none" w:sz="0" w:space="0" w:color="auto"/>
                                                    <w:right w:val="none" w:sz="0" w:space="0" w:color="auto"/>
                                                  </w:divBdr>
                                                  <w:divsChild>
                                                    <w:div w:id="1846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153472">
      <w:bodyDiv w:val="1"/>
      <w:marLeft w:val="0"/>
      <w:marRight w:val="0"/>
      <w:marTop w:val="0"/>
      <w:marBottom w:val="0"/>
      <w:divBdr>
        <w:top w:val="none" w:sz="0" w:space="0" w:color="auto"/>
        <w:left w:val="none" w:sz="0" w:space="0" w:color="auto"/>
        <w:bottom w:val="none" w:sz="0" w:space="0" w:color="auto"/>
        <w:right w:val="none" w:sz="0" w:space="0" w:color="auto"/>
      </w:divBdr>
      <w:divsChild>
        <w:div w:id="1834175969">
          <w:marLeft w:val="0"/>
          <w:marRight w:val="0"/>
          <w:marTop w:val="0"/>
          <w:marBottom w:val="0"/>
          <w:divBdr>
            <w:top w:val="none" w:sz="0" w:space="0" w:color="auto"/>
            <w:left w:val="none" w:sz="0" w:space="0" w:color="auto"/>
            <w:bottom w:val="none" w:sz="0" w:space="0" w:color="auto"/>
            <w:right w:val="none" w:sz="0" w:space="0" w:color="auto"/>
          </w:divBdr>
          <w:divsChild>
            <w:div w:id="556864179">
              <w:marLeft w:val="0"/>
              <w:marRight w:val="0"/>
              <w:marTop w:val="0"/>
              <w:marBottom w:val="0"/>
              <w:divBdr>
                <w:top w:val="none" w:sz="0" w:space="0" w:color="auto"/>
                <w:left w:val="none" w:sz="0" w:space="0" w:color="auto"/>
                <w:bottom w:val="none" w:sz="0" w:space="0" w:color="auto"/>
                <w:right w:val="none" w:sz="0" w:space="0" w:color="auto"/>
              </w:divBdr>
              <w:divsChild>
                <w:div w:id="416632145">
                  <w:marLeft w:val="0"/>
                  <w:marRight w:val="0"/>
                  <w:marTop w:val="0"/>
                  <w:marBottom w:val="0"/>
                  <w:divBdr>
                    <w:top w:val="none" w:sz="0" w:space="0" w:color="auto"/>
                    <w:left w:val="none" w:sz="0" w:space="0" w:color="auto"/>
                    <w:bottom w:val="none" w:sz="0" w:space="0" w:color="auto"/>
                    <w:right w:val="none" w:sz="0" w:space="0" w:color="auto"/>
                  </w:divBdr>
                  <w:divsChild>
                    <w:div w:id="1429082763">
                      <w:marLeft w:val="0"/>
                      <w:marRight w:val="0"/>
                      <w:marTop w:val="0"/>
                      <w:marBottom w:val="0"/>
                      <w:divBdr>
                        <w:top w:val="none" w:sz="0" w:space="0" w:color="auto"/>
                        <w:left w:val="none" w:sz="0" w:space="0" w:color="auto"/>
                        <w:bottom w:val="none" w:sz="0" w:space="0" w:color="auto"/>
                        <w:right w:val="none" w:sz="0" w:space="0" w:color="auto"/>
                      </w:divBdr>
                    </w:div>
                    <w:div w:id="1514491086">
                      <w:marLeft w:val="0"/>
                      <w:marRight w:val="0"/>
                      <w:marTop w:val="0"/>
                      <w:marBottom w:val="0"/>
                      <w:divBdr>
                        <w:top w:val="none" w:sz="0" w:space="0" w:color="auto"/>
                        <w:left w:val="none" w:sz="0" w:space="0" w:color="auto"/>
                        <w:bottom w:val="none" w:sz="0" w:space="0" w:color="auto"/>
                        <w:right w:val="none" w:sz="0" w:space="0" w:color="auto"/>
                      </w:divBdr>
                    </w:div>
                  </w:divsChild>
                </w:div>
                <w:div w:id="1104576338">
                  <w:marLeft w:val="0"/>
                  <w:marRight w:val="0"/>
                  <w:marTop w:val="0"/>
                  <w:marBottom w:val="0"/>
                  <w:divBdr>
                    <w:top w:val="none" w:sz="0" w:space="0" w:color="auto"/>
                    <w:left w:val="none" w:sz="0" w:space="0" w:color="auto"/>
                    <w:bottom w:val="none" w:sz="0" w:space="0" w:color="auto"/>
                    <w:right w:val="none" w:sz="0" w:space="0" w:color="auto"/>
                  </w:divBdr>
                  <w:divsChild>
                    <w:div w:id="1279877732">
                      <w:marLeft w:val="0"/>
                      <w:marRight w:val="0"/>
                      <w:marTop w:val="0"/>
                      <w:marBottom w:val="0"/>
                      <w:divBdr>
                        <w:top w:val="none" w:sz="0" w:space="0" w:color="auto"/>
                        <w:left w:val="none" w:sz="0" w:space="0" w:color="auto"/>
                        <w:bottom w:val="none" w:sz="0" w:space="0" w:color="auto"/>
                        <w:right w:val="none" w:sz="0" w:space="0" w:color="auto"/>
                      </w:divBdr>
                    </w:div>
                    <w:div w:id="10468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383">
              <w:marLeft w:val="0"/>
              <w:marRight w:val="0"/>
              <w:marTop w:val="0"/>
              <w:marBottom w:val="0"/>
              <w:divBdr>
                <w:top w:val="none" w:sz="0" w:space="0" w:color="auto"/>
                <w:left w:val="none" w:sz="0" w:space="0" w:color="auto"/>
                <w:bottom w:val="none" w:sz="0" w:space="0" w:color="auto"/>
                <w:right w:val="none" w:sz="0" w:space="0" w:color="auto"/>
              </w:divBdr>
              <w:divsChild>
                <w:div w:id="10692348">
                  <w:marLeft w:val="0"/>
                  <w:marRight w:val="0"/>
                  <w:marTop w:val="0"/>
                  <w:marBottom w:val="0"/>
                  <w:divBdr>
                    <w:top w:val="none" w:sz="0" w:space="0" w:color="auto"/>
                    <w:left w:val="none" w:sz="0" w:space="0" w:color="auto"/>
                    <w:bottom w:val="none" w:sz="0" w:space="0" w:color="auto"/>
                    <w:right w:val="none" w:sz="0" w:space="0" w:color="auto"/>
                  </w:divBdr>
                  <w:divsChild>
                    <w:div w:id="18282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6707">
          <w:marLeft w:val="0"/>
          <w:marRight w:val="0"/>
          <w:marTop w:val="0"/>
          <w:marBottom w:val="0"/>
          <w:divBdr>
            <w:top w:val="none" w:sz="0" w:space="0" w:color="auto"/>
            <w:left w:val="none" w:sz="0" w:space="0" w:color="auto"/>
            <w:bottom w:val="none" w:sz="0" w:space="0" w:color="auto"/>
            <w:right w:val="none" w:sz="0" w:space="0" w:color="auto"/>
          </w:divBdr>
          <w:divsChild>
            <w:div w:id="1156455501">
              <w:marLeft w:val="0"/>
              <w:marRight w:val="0"/>
              <w:marTop w:val="0"/>
              <w:marBottom w:val="0"/>
              <w:divBdr>
                <w:top w:val="none" w:sz="0" w:space="0" w:color="auto"/>
                <w:left w:val="none" w:sz="0" w:space="0" w:color="auto"/>
                <w:bottom w:val="none" w:sz="0" w:space="0" w:color="auto"/>
                <w:right w:val="none" w:sz="0" w:space="0" w:color="auto"/>
              </w:divBdr>
              <w:divsChild>
                <w:div w:id="1290624604">
                  <w:marLeft w:val="0"/>
                  <w:marRight w:val="0"/>
                  <w:marTop w:val="0"/>
                  <w:marBottom w:val="0"/>
                  <w:divBdr>
                    <w:top w:val="none" w:sz="0" w:space="0" w:color="auto"/>
                    <w:left w:val="none" w:sz="0" w:space="0" w:color="auto"/>
                    <w:bottom w:val="none" w:sz="0" w:space="0" w:color="auto"/>
                    <w:right w:val="none" w:sz="0" w:space="0" w:color="auto"/>
                  </w:divBdr>
                </w:div>
                <w:div w:id="345602342">
                  <w:marLeft w:val="0"/>
                  <w:marRight w:val="0"/>
                  <w:marTop w:val="0"/>
                  <w:marBottom w:val="0"/>
                  <w:divBdr>
                    <w:top w:val="none" w:sz="0" w:space="0" w:color="auto"/>
                    <w:left w:val="none" w:sz="0" w:space="0" w:color="auto"/>
                    <w:bottom w:val="none" w:sz="0" w:space="0" w:color="auto"/>
                    <w:right w:val="none" w:sz="0" w:space="0" w:color="auto"/>
                  </w:divBdr>
                </w:div>
              </w:divsChild>
            </w:div>
            <w:div w:id="243418443">
              <w:marLeft w:val="0"/>
              <w:marRight w:val="0"/>
              <w:marTop w:val="0"/>
              <w:marBottom w:val="0"/>
              <w:divBdr>
                <w:top w:val="none" w:sz="0" w:space="0" w:color="auto"/>
                <w:left w:val="none" w:sz="0" w:space="0" w:color="auto"/>
                <w:bottom w:val="none" w:sz="0" w:space="0" w:color="auto"/>
                <w:right w:val="none" w:sz="0" w:space="0" w:color="auto"/>
              </w:divBdr>
              <w:divsChild>
                <w:div w:id="11596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850">
          <w:marLeft w:val="0"/>
          <w:marRight w:val="0"/>
          <w:marTop w:val="0"/>
          <w:marBottom w:val="0"/>
          <w:divBdr>
            <w:top w:val="none" w:sz="0" w:space="0" w:color="auto"/>
            <w:left w:val="none" w:sz="0" w:space="0" w:color="auto"/>
            <w:bottom w:val="none" w:sz="0" w:space="0" w:color="auto"/>
            <w:right w:val="none" w:sz="0" w:space="0" w:color="auto"/>
          </w:divBdr>
          <w:divsChild>
            <w:div w:id="515655636">
              <w:marLeft w:val="0"/>
              <w:marRight w:val="0"/>
              <w:marTop w:val="0"/>
              <w:marBottom w:val="0"/>
              <w:divBdr>
                <w:top w:val="none" w:sz="0" w:space="0" w:color="auto"/>
                <w:left w:val="none" w:sz="0" w:space="0" w:color="auto"/>
                <w:bottom w:val="none" w:sz="0" w:space="0" w:color="auto"/>
                <w:right w:val="none" w:sz="0" w:space="0" w:color="auto"/>
              </w:divBdr>
              <w:divsChild>
                <w:div w:id="542136357">
                  <w:marLeft w:val="0"/>
                  <w:marRight w:val="0"/>
                  <w:marTop w:val="0"/>
                  <w:marBottom w:val="0"/>
                  <w:divBdr>
                    <w:top w:val="none" w:sz="0" w:space="0" w:color="auto"/>
                    <w:left w:val="none" w:sz="0" w:space="0" w:color="auto"/>
                    <w:bottom w:val="none" w:sz="0" w:space="0" w:color="auto"/>
                    <w:right w:val="none" w:sz="0" w:space="0" w:color="auto"/>
                  </w:divBdr>
                  <w:divsChild>
                    <w:div w:id="1751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44431">
      <w:bodyDiv w:val="1"/>
      <w:marLeft w:val="0"/>
      <w:marRight w:val="0"/>
      <w:marTop w:val="0"/>
      <w:marBottom w:val="0"/>
      <w:divBdr>
        <w:top w:val="none" w:sz="0" w:space="0" w:color="auto"/>
        <w:left w:val="none" w:sz="0" w:space="0" w:color="auto"/>
        <w:bottom w:val="none" w:sz="0" w:space="0" w:color="auto"/>
        <w:right w:val="none" w:sz="0" w:space="0" w:color="auto"/>
      </w:divBdr>
      <w:divsChild>
        <w:div w:id="1426724518">
          <w:marLeft w:val="0"/>
          <w:marRight w:val="0"/>
          <w:marTop w:val="0"/>
          <w:marBottom w:val="0"/>
          <w:divBdr>
            <w:top w:val="none" w:sz="0" w:space="0" w:color="auto"/>
            <w:left w:val="none" w:sz="0" w:space="0" w:color="auto"/>
            <w:bottom w:val="none" w:sz="0" w:space="0" w:color="auto"/>
            <w:right w:val="none" w:sz="0" w:space="0" w:color="auto"/>
          </w:divBdr>
          <w:divsChild>
            <w:div w:id="2052613930">
              <w:marLeft w:val="0"/>
              <w:marRight w:val="0"/>
              <w:marTop w:val="0"/>
              <w:marBottom w:val="0"/>
              <w:divBdr>
                <w:top w:val="none" w:sz="0" w:space="0" w:color="auto"/>
                <w:left w:val="none" w:sz="0" w:space="0" w:color="auto"/>
                <w:bottom w:val="none" w:sz="0" w:space="0" w:color="auto"/>
                <w:right w:val="none" w:sz="0" w:space="0" w:color="auto"/>
              </w:divBdr>
              <w:divsChild>
                <w:div w:id="12113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72507">
      <w:bodyDiv w:val="1"/>
      <w:marLeft w:val="0"/>
      <w:marRight w:val="0"/>
      <w:marTop w:val="0"/>
      <w:marBottom w:val="0"/>
      <w:divBdr>
        <w:top w:val="none" w:sz="0" w:space="0" w:color="auto"/>
        <w:left w:val="none" w:sz="0" w:space="0" w:color="auto"/>
        <w:bottom w:val="none" w:sz="0" w:space="0" w:color="auto"/>
        <w:right w:val="none" w:sz="0" w:space="0" w:color="auto"/>
      </w:divBdr>
      <w:divsChild>
        <w:div w:id="485098289">
          <w:marLeft w:val="0"/>
          <w:marRight w:val="0"/>
          <w:marTop w:val="0"/>
          <w:marBottom w:val="0"/>
          <w:divBdr>
            <w:top w:val="none" w:sz="0" w:space="0" w:color="auto"/>
            <w:left w:val="none" w:sz="0" w:space="0" w:color="auto"/>
            <w:bottom w:val="none" w:sz="0" w:space="0" w:color="auto"/>
            <w:right w:val="none" w:sz="0" w:space="0" w:color="auto"/>
          </w:divBdr>
          <w:divsChild>
            <w:div w:id="2103644489">
              <w:marLeft w:val="0"/>
              <w:marRight w:val="0"/>
              <w:marTop w:val="0"/>
              <w:marBottom w:val="0"/>
              <w:divBdr>
                <w:top w:val="none" w:sz="0" w:space="0" w:color="auto"/>
                <w:left w:val="none" w:sz="0" w:space="0" w:color="auto"/>
                <w:bottom w:val="none" w:sz="0" w:space="0" w:color="auto"/>
                <w:right w:val="none" w:sz="0" w:space="0" w:color="auto"/>
              </w:divBdr>
              <w:divsChild>
                <w:div w:id="21057918">
                  <w:marLeft w:val="0"/>
                  <w:marRight w:val="0"/>
                  <w:marTop w:val="0"/>
                  <w:marBottom w:val="0"/>
                  <w:divBdr>
                    <w:top w:val="none" w:sz="0" w:space="0" w:color="auto"/>
                    <w:left w:val="none" w:sz="0" w:space="0" w:color="auto"/>
                    <w:bottom w:val="none" w:sz="0" w:space="0" w:color="auto"/>
                    <w:right w:val="none" w:sz="0" w:space="0" w:color="auto"/>
                  </w:divBdr>
                </w:div>
                <w:div w:id="18478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hyperlink" Target="http://es.wikipedia.org/wiki/Multinacional" TargetMode="External"/><Relationship Id="rId15" Type="http://schemas.openxmlformats.org/officeDocument/2006/relationships/hyperlink" Target="http://es.wikipedia.org/wiki/Bebida" TargetMode="External"/><Relationship Id="rId16" Type="http://schemas.openxmlformats.org/officeDocument/2006/relationships/hyperlink" Target="http://es.wikipedia.org/wiki/Alimento" TargetMode="External"/><Relationship Id="rId17" Type="http://schemas.openxmlformats.org/officeDocument/2006/relationships/hyperlink" Target="http://es.wikipedia.org/wiki/Atlanta" TargetMode="External"/><Relationship Id="rId18" Type="http://schemas.openxmlformats.org/officeDocument/2006/relationships/hyperlink" Target="http://es.wikipedia.org/wiki/Refresco" TargetMode="External"/><Relationship Id="rId19" Type="http://schemas.openxmlformats.org/officeDocument/2006/relationships/hyperlink" Target="http://es.wikipedia.org/wiki/Coca-Cola" TargetMode="External"/><Relationship Id="rId50" Type="http://schemas.openxmlformats.org/officeDocument/2006/relationships/hyperlink" Target="http://www.innovationforchange.org/" TargetMode="External"/><Relationship Id="rId51" Type="http://schemas.openxmlformats.org/officeDocument/2006/relationships/hyperlink" Target="http://www.PlanetforChang.org" TargetMode="External"/><Relationship Id="rId52" Type="http://schemas.openxmlformats.org/officeDocument/2006/relationships/hyperlink" Target="http://www.blendedvalue.org/media/pdf-bv-map.pdf" TargetMode="External"/><Relationship Id="rId53" Type="http://schemas.openxmlformats.org/officeDocument/2006/relationships/hyperlink" Target="http://www.johnseelybrown.com/shapingstrategy.pdf" TargetMode="External"/><Relationship Id="rId54" Type="http://schemas.openxmlformats.org/officeDocument/2006/relationships/hyperlink" Target="http://www.wri.org/publication/the-next-4-billion" TargetMode="External"/><Relationship Id="rId55" Type="http://schemas.openxmlformats.org/officeDocument/2006/relationships/hyperlink" Target="http://www.stuartlhart.com/sites/stuartlhart.com/files/Hart%20%20Christensen%20Sloan%202003_0.pdf"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8.png"/><Relationship Id="rId41" Type="http://schemas.openxmlformats.org/officeDocument/2006/relationships/image" Target="media/image9.jpeg"/><Relationship Id="rId42" Type="http://schemas.openxmlformats.org/officeDocument/2006/relationships/hyperlink" Target="http://es.wikipedia.org/wiki/Multinacional" TargetMode="External"/><Relationship Id="rId43" Type="http://schemas.openxmlformats.org/officeDocument/2006/relationships/hyperlink" Target="http://es.wikipedia.org/wiki/Bebida" TargetMode="External"/><Relationship Id="rId44" Type="http://schemas.openxmlformats.org/officeDocument/2006/relationships/hyperlink" Target="http://es.wikipedia.org/wiki/Alimento" TargetMode="External"/><Relationship Id="rId45" Type="http://schemas.openxmlformats.org/officeDocument/2006/relationships/hyperlink" Target="http://es.wikipedia.org/wiki/Atlanta" TargetMode="External"/><Relationship Id="rId46" Type="http://schemas.openxmlformats.org/officeDocument/2006/relationships/hyperlink" Target="http://es.wikipedia.org/wiki/Refresco" TargetMode="External"/><Relationship Id="rId47" Type="http://schemas.openxmlformats.org/officeDocument/2006/relationships/hyperlink" Target="http://es.wikipedia.org/wiki/Coca-Cola" TargetMode="External"/><Relationship Id="rId48" Type="http://schemas.openxmlformats.org/officeDocument/2006/relationships/image" Target="media/image10.jpeg"/><Relationship Id="rId49" Type="http://schemas.openxmlformats.org/officeDocument/2006/relationships/hyperlink" Target="http://www.innovationforsocialchange.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blendedvalue.org/media/pdf-bv-map.pdf" TargetMode="External"/><Relationship Id="rId31" Type="http://schemas.openxmlformats.org/officeDocument/2006/relationships/hyperlink" Target="http://www.johnseelybrown.com/shapingstrategy.pdf" TargetMode="External"/><Relationship Id="rId32" Type="http://schemas.openxmlformats.org/officeDocument/2006/relationships/hyperlink" Target="http://www.wri.org/publication/the-next-4-billion" TargetMode="External"/><Relationship Id="rId33" Type="http://schemas.openxmlformats.org/officeDocument/2006/relationships/hyperlink" Target="http://www.stuartlhart.com/sites/stuartlhart.com/files/Hart%20%20Christensen%20Sloan%202003_0.pdf" TargetMode="External"/><Relationship Id="rId34" Type="http://schemas.openxmlformats.org/officeDocument/2006/relationships/image" Target="media/image5.jpeg"/><Relationship Id="rId35" Type="http://schemas.openxmlformats.org/officeDocument/2006/relationships/header" Target="header1.xml"/><Relationship Id="rId36" Type="http://schemas.openxmlformats.org/officeDocument/2006/relationships/header" Target="header2.xml"/><Relationship Id="rId37" Type="http://schemas.openxmlformats.org/officeDocument/2006/relationships/footer" Target="footer1.xml"/><Relationship Id="rId38" Type="http://schemas.openxmlformats.org/officeDocument/2006/relationships/image" Target="media/image6.png"/><Relationship Id="rId39" Type="http://schemas.openxmlformats.org/officeDocument/2006/relationships/image" Target="media/image7.png"/><Relationship Id="rId20" Type="http://schemas.openxmlformats.org/officeDocument/2006/relationships/hyperlink" Target="http://www.blendedvalue.org/media/pdf-bv-map.pdf" TargetMode="External"/><Relationship Id="rId21" Type="http://schemas.openxmlformats.org/officeDocument/2006/relationships/hyperlink" Target="http://www.johnseelybrown.com/shapingstrategy.pdf" TargetMode="External"/><Relationship Id="rId22" Type="http://schemas.openxmlformats.org/officeDocument/2006/relationships/hyperlink" Target="http://www.wri.org/publication/the-next-4-billion" TargetMode="External"/><Relationship Id="rId23" Type="http://schemas.openxmlformats.org/officeDocument/2006/relationships/hyperlink" Target="http://www.stuartlhart.com/sites/stuartlhart.com/files/Hart%20%20Christensen%20Sloan%202003_0.pdf" TargetMode="External"/><Relationship Id="rId24" Type="http://schemas.openxmlformats.org/officeDocument/2006/relationships/hyperlink" Target="http://es.wikipedia.org/wiki/Multinacional" TargetMode="External"/><Relationship Id="rId25" Type="http://schemas.openxmlformats.org/officeDocument/2006/relationships/hyperlink" Target="http://es.wikipedia.org/wiki/Bebida" TargetMode="External"/><Relationship Id="rId26" Type="http://schemas.openxmlformats.org/officeDocument/2006/relationships/hyperlink" Target="http://es.wikipedia.org/wiki/Alimento" TargetMode="External"/><Relationship Id="rId27" Type="http://schemas.openxmlformats.org/officeDocument/2006/relationships/hyperlink" Target="http://es.wikipedia.org/wiki/Atlanta" TargetMode="External"/><Relationship Id="rId28" Type="http://schemas.openxmlformats.org/officeDocument/2006/relationships/hyperlink" Target="http://es.wikipedia.org/wiki/Refresco" TargetMode="External"/><Relationship Id="rId29" Type="http://schemas.openxmlformats.org/officeDocument/2006/relationships/hyperlink" Target="http://es.wikipedia.org/wiki/Coca-Cola"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8DAD-9597-3D49-92D1-4B7983AE7EEF}">
  <ds:schemaRefs>
    <ds:schemaRef ds:uri="http://schemas.openxmlformats.org/officeDocument/2006/bibliography"/>
  </ds:schemaRefs>
</ds:datastoreItem>
</file>

<file path=customXml/itemProps2.xml><?xml version="1.0" encoding="utf-8"?>
<ds:datastoreItem xmlns:ds="http://schemas.openxmlformats.org/officeDocument/2006/customXml" ds:itemID="{E7EACF74-3D09-CE4B-8227-50621D04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6906</Words>
  <Characters>37089</Characters>
  <Application>Microsoft Macintosh Word</Application>
  <DocSecurity>0</DocSecurity>
  <Lines>727</Lines>
  <Paragraphs>295</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Microsoft</Company>
  <LinksUpToDate>false</LinksUpToDate>
  <CharactersWithSpaces>43700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Franck</dc:creator>
  <cp:lastModifiedBy>Guadalupe De la mata</cp:lastModifiedBy>
  <cp:revision>4</cp:revision>
  <cp:lastPrinted>2015-04-26T19:27:00Z</cp:lastPrinted>
  <dcterms:created xsi:type="dcterms:W3CDTF">2015-04-26T19:33:00Z</dcterms:created>
  <dcterms:modified xsi:type="dcterms:W3CDTF">2015-04-26T19:45:00Z</dcterms:modified>
</cp:coreProperties>
</file>